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 xml:space="preserve">附件2： </w:t>
      </w:r>
    </w:p>
    <w:p>
      <w:pPr>
        <w:spacing w:line="560" w:lineRule="exact"/>
        <w:rPr>
          <w:rFonts w:ascii="仿宋_GB2312" w:hAnsi="Times New Roman" w:eastAsia="仿宋_GB2312"/>
          <w:sz w:val="32"/>
          <w:szCs w:val="32"/>
        </w:rPr>
      </w:pPr>
    </w:p>
    <w:p>
      <w:pPr>
        <w:spacing w:before="100" w:beforeAutospacing="1" w:after="100" w:afterAutospacing="1" w:line="560" w:lineRule="exact"/>
        <w:jc w:val="center"/>
        <w:rPr>
          <w:rFonts w:ascii="仿宋_GB2312" w:hAnsi="Times New Roman" w:eastAsia="仿宋_GB2312"/>
          <w:b/>
          <w:color w:val="000000"/>
          <w:sz w:val="32"/>
          <w:szCs w:val="32"/>
        </w:rPr>
      </w:pPr>
    </w:p>
    <w:p>
      <w:pPr>
        <w:spacing w:before="100" w:beforeAutospacing="1" w:after="100" w:afterAutospacing="1" w:line="560" w:lineRule="exact"/>
        <w:jc w:val="center"/>
        <w:rPr>
          <w:rFonts w:ascii="仿宋_GB2312" w:hAnsi="Times New Roman" w:eastAsia="仿宋_GB2312"/>
          <w:b/>
          <w:color w:val="000000"/>
          <w:sz w:val="32"/>
          <w:szCs w:val="32"/>
        </w:rPr>
      </w:pPr>
    </w:p>
    <w:p>
      <w:pPr>
        <w:spacing w:before="100" w:beforeAutospacing="1" w:after="100" w:afterAutospacing="1" w:line="560" w:lineRule="exact"/>
        <w:jc w:val="center"/>
        <w:rPr>
          <w:rFonts w:ascii="方正小标宋_GBK" w:hAnsi="Times New Roman" w:eastAsia="方正小标宋_GBK"/>
          <w:bCs/>
          <w:color w:val="000000"/>
          <w:sz w:val="44"/>
          <w:szCs w:val="44"/>
        </w:rPr>
      </w:pPr>
      <w:r>
        <w:rPr>
          <w:rFonts w:hint="eastAsia" w:ascii="方正小标宋_GBK" w:hAnsi="Times New Roman" w:eastAsia="方正小标宋_GBK"/>
          <w:bCs/>
          <w:color w:val="000000"/>
          <w:sz w:val="44"/>
          <w:szCs w:val="44"/>
        </w:rPr>
        <w:t>2024年清城区电工职业技能竞赛</w:t>
      </w:r>
    </w:p>
    <w:p>
      <w:pPr>
        <w:spacing w:line="560" w:lineRule="exact"/>
        <w:jc w:val="center"/>
        <w:rPr>
          <w:rFonts w:ascii="方正小标宋_GBK" w:hAnsi="Times New Roman" w:eastAsia="方正小标宋_GBK"/>
          <w:bCs/>
          <w:sz w:val="44"/>
          <w:szCs w:val="44"/>
          <w:lang w:val="en-AU"/>
        </w:rPr>
      </w:pPr>
      <w:r>
        <w:rPr>
          <w:rFonts w:hint="eastAsia" w:ascii="方正小标宋_GBK" w:hAnsi="Times New Roman" w:eastAsia="方正小标宋_GBK"/>
          <w:bCs/>
          <w:color w:val="000000"/>
          <w:sz w:val="44"/>
          <w:szCs w:val="44"/>
          <w:lang w:val="en-AU"/>
        </w:rPr>
        <w:t>技术工</w:t>
      </w:r>
      <w:r>
        <w:rPr>
          <w:rFonts w:hint="eastAsia" w:ascii="方正小标宋_GBK" w:hAnsi="Times New Roman" w:eastAsia="方正小标宋_GBK"/>
          <w:bCs/>
          <w:sz w:val="44"/>
          <w:szCs w:val="44"/>
          <w:lang w:val="en-AU"/>
        </w:rPr>
        <w:t>作文件</w:t>
      </w:r>
    </w:p>
    <w:p>
      <w:pPr>
        <w:widowControl/>
        <w:spacing w:line="560" w:lineRule="exact"/>
        <w:contextualSpacing/>
        <w:rPr>
          <w:rFonts w:ascii="仿宋_GB2312" w:hAnsi="Times New Roman" w:eastAsia="仿宋_GB2312"/>
          <w:b/>
          <w:color w:val="0084AD"/>
          <w:spacing w:val="-10"/>
          <w:kern w:val="28"/>
          <w:sz w:val="32"/>
          <w:szCs w:val="32"/>
          <w:lang w:val="en-AU"/>
        </w:rPr>
      </w:pPr>
    </w:p>
    <w:p>
      <w:pPr>
        <w:spacing w:line="560" w:lineRule="exact"/>
        <w:rPr>
          <w:rFonts w:ascii="仿宋_GB2312" w:hAnsi="Times New Roman" w:eastAsia="仿宋_GB2312"/>
          <w:sz w:val="32"/>
          <w:szCs w:val="32"/>
          <w:lang w:val="en-AU"/>
        </w:rPr>
      </w:pPr>
    </w:p>
    <w:p>
      <w:pPr>
        <w:spacing w:line="560" w:lineRule="exact"/>
        <w:rPr>
          <w:rFonts w:ascii="仿宋_GB2312" w:hAnsi="Times New Roman" w:eastAsia="仿宋_GB2312"/>
          <w:sz w:val="32"/>
          <w:szCs w:val="32"/>
          <w:lang w:val="en-AU"/>
        </w:rPr>
      </w:pPr>
    </w:p>
    <w:p>
      <w:pPr>
        <w:spacing w:line="560" w:lineRule="exact"/>
        <w:rPr>
          <w:rFonts w:ascii="仿宋_GB2312" w:hAnsi="Times New Roman" w:eastAsia="仿宋_GB2312"/>
          <w:sz w:val="32"/>
          <w:szCs w:val="32"/>
          <w:lang w:val="en-AU"/>
        </w:rPr>
      </w:pPr>
    </w:p>
    <w:p>
      <w:pPr>
        <w:spacing w:line="560" w:lineRule="exact"/>
        <w:rPr>
          <w:rFonts w:ascii="仿宋_GB2312" w:hAnsi="Times New Roman" w:eastAsia="仿宋_GB2312"/>
          <w:sz w:val="32"/>
          <w:szCs w:val="32"/>
          <w:lang w:val="en-AU"/>
        </w:rPr>
      </w:pPr>
    </w:p>
    <w:p>
      <w:pPr>
        <w:spacing w:line="560" w:lineRule="exact"/>
        <w:rPr>
          <w:rFonts w:ascii="仿宋_GB2312" w:hAnsi="Times New Roman" w:eastAsia="仿宋_GB2312"/>
          <w:sz w:val="32"/>
          <w:szCs w:val="32"/>
          <w:lang w:val="en-AU"/>
        </w:rPr>
      </w:pPr>
    </w:p>
    <w:p>
      <w:pPr>
        <w:spacing w:line="560" w:lineRule="exact"/>
        <w:rPr>
          <w:rFonts w:ascii="仿宋_GB2312" w:hAnsi="Times New Roman" w:eastAsia="仿宋_GB2312"/>
          <w:sz w:val="32"/>
          <w:szCs w:val="32"/>
          <w:lang w:val="en-AU"/>
        </w:rPr>
      </w:pPr>
    </w:p>
    <w:p>
      <w:pPr>
        <w:spacing w:line="560" w:lineRule="exact"/>
        <w:rPr>
          <w:rFonts w:ascii="仿宋_GB2312" w:hAnsi="Times New Roman" w:eastAsia="仿宋_GB2312"/>
          <w:sz w:val="32"/>
          <w:szCs w:val="32"/>
          <w:lang w:val="en-AU"/>
        </w:rPr>
      </w:pPr>
    </w:p>
    <w:p>
      <w:pPr>
        <w:spacing w:line="560" w:lineRule="exact"/>
        <w:rPr>
          <w:rFonts w:ascii="仿宋_GB2312" w:hAnsi="Times New Roman" w:eastAsia="仿宋_GB2312"/>
          <w:sz w:val="32"/>
          <w:szCs w:val="32"/>
          <w:lang w:val="en-AU"/>
        </w:rPr>
      </w:pPr>
    </w:p>
    <w:p>
      <w:pPr>
        <w:spacing w:line="560" w:lineRule="exact"/>
        <w:rPr>
          <w:rFonts w:ascii="仿宋_GB2312" w:hAnsi="Times New Roman" w:eastAsia="仿宋_GB2312"/>
          <w:sz w:val="32"/>
          <w:szCs w:val="32"/>
        </w:rPr>
      </w:pPr>
    </w:p>
    <w:p>
      <w:pPr>
        <w:spacing w:line="560" w:lineRule="exact"/>
        <w:jc w:val="center"/>
        <w:rPr>
          <w:rFonts w:ascii="仿宋_GB2312" w:hAnsi="Times New Roman" w:eastAsia="仿宋_GB2312"/>
          <w:sz w:val="32"/>
          <w:szCs w:val="32"/>
        </w:rPr>
      </w:pPr>
      <w:r>
        <w:rPr>
          <w:rFonts w:hint="eastAsia" w:ascii="仿宋_GB2312" w:hAnsi="Times New Roman" w:eastAsia="仿宋_GB2312"/>
          <w:sz w:val="32"/>
          <w:szCs w:val="32"/>
        </w:rPr>
        <w:t>2024年清城区电工职业技能竞赛组委会</w:t>
      </w:r>
    </w:p>
    <w:p>
      <w:pPr>
        <w:spacing w:line="560" w:lineRule="exact"/>
        <w:jc w:val="center"/>
        <w:rPr>
          <w:rFonts w:ascii="仿宋_GB2312" w:hAnsi="Times New Roman" w:eastAsia="仿宋_GB2312"/>
          <w:sz w:val="32"/>
          <w:szCs w:val="32"/>
          <w:lang w:val="en-AU"/>
        </w:rPr>
      </w:pPr>
      <w:r>
        <w:rPr>
          <w:rFonts w:hint="eastAsia" w:ascii="仿宋_GB2312" w:hAnsi="Times New Roman" w:eastAsia="仿宋_GB2312"/>
          <w:sz w:val="32"/>
          <w:szCs w:val="32"/>
          <w:lang w:val="en-AU"/>
        </w:rPr>
        <w:t>202</w:t>
      </w:r>
      <w:r>
        <w:rPr>
          <w:rFonts w:hint="eastAsia" w:ascii="仿宋_GB2312" w:hAnsi="Times New Roman" w:eastAsia="仿宋_GB2312"/>
          <w:sz w:val="32"/>
          <w:szCs w:val="32"/>
        </w:rPr>
        <w:t>4</w:t>
      </w:r>
      <w:r>
        <w:rPr>
          <w:rFonts w:hint="eastAsia" w:ascii="仿宋_GB2312" w:hAnsi="Times New Roman" w:eastAsia="仿宋_GB2312"/>
          <w:sz w:val="32"/>
          <w:szCs w:val="32"/>
          <w:lang w:val="en-AU"/>
        </w:rPr>
        <w:t>年</w:t>
      </w:r>
      <w:r>
        <w:rPr>
          <w:rFonts w:hint="eastAsia" w:ascii="仿宋_GB2312" w:hAnsi="Times New Roman" w:eastAsia="仿宋_GB2312"/>
          <w:sz w:val="32"/>
          <w:szCs w:val="32"/>
        </w:rPr>
        <w:t>10</w:t>
      </w:r>
      <w:r>
        <w:rPr>
          <w:rFonts w:hint="eastAsia" w:ascii="仿宋_GB2312" w:hAnsi="Times New Roman" w:eastAsia="仿宋_GB2312"/>
          <w:sz w:val="32"/>
          <w:szCs w:val="32"/>
          <w:lang w:val="en-AU"/>
        </w:rPr>
        <w:t>月</w:t>
      </w:r>
    </w:p>
    <w:p>
      <w:pPr>
        <w:widowControl/>
        <w:jc w:val="left"/>
        <w:rPr>
          <w:rFonts w:ascii="仿宋_GB2312" w:eastAsia="仿宋_GB2312"/>
          <w:sz w:val="32"/>
          <w:szCs w:val="32"/>
        </w:rPr>
      </w:pPr>
      <w:r>
        <w:rPr>
          <w:rFonts w:ascii="仿宋_GB2312" w:eastAsia="仿宋_GB2312"/>
          <w:sz w:val="32"/>
          <w:szCs w:val="32"/>
        </w:rPr>
        <w:br w:type="page"/>
      </w:r>
    </w:p>
    <w:p>
      <w:pPr>
        <w:spacing w:line="560" w:lineRule="exact"/>
        <w:ind w:firstLine="880" w:firstLineChars="200"/>
        <w:jc w:val="center"/>
        <w:rPr>
          <w:rFonts w:ascii="方正小标宋_GBK" w:hAnsi="黑体" w:eastAsia="方正小标宋_GBK"/>
          <w:sz w:val="44"/>
          <w:szCs w:val="44"/>
        </w:rPr>
      </w:pPr>
      <w:r>
        <w:rPr>
          <w:rFonts w:hint="eastAsia" w:ascii="方正小标宋_GBK" w:hAnsi="黑体" w:eastAsia="方正小标宋_GBK"/>
          <w:sz w:val="44"/>
          <w:szCs w:val="44"/>
        </w:rPr>
        <w:t>目  录</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一、技术描述…………………………………………（1）</w:t>
      </w:r>
    </w:p>
    <w:p>
      <w:pPr>
        <w:spacing w:line="560" w:lineRule="exact"/>
        <w:ind w:firstLine="640" w:firstLineChars="200"/>
        <w:rPr>
          <w:rFonts w:ascii="楷体_GB2312" w:hAnsi="黑体" w:eastAsia="楷体_GB2312"/>
          <w:sz w:val="32"/>
          <w:szCs w:val="32"/>
        </w:rPr>
      </w:pPr>
      <w:r>
        <w:rPr>
          <w:rFonts w:hint="eastAsia" w:ascii="楷体_GB2312" w:hAnsi="黑体" w:eastAsia="楷体_GB2312"/>
          <w:sz w:val="32"/>
          <w:szCs w:val="32"/>
        </w:rPr>
        <w:t>（一）项目概要………………………………………（1）</w:t>
      </w:r>
    </w:p>
    <w:p>
      <w:pPr>
        <w:spacing w:line="560" w:lineRule="exact"/>
        <w:ind w:firstLine="640" w:firstLineChars="200"/>
        <w:rPr>
          <w:rFonts w:ascii="楷体_GB2312" w:hAnsi="黑体" w:eastAsia="楷体_GB2312"/>
          <w:sz w:val="32"/>
          <w:szCs w:val="32"/>
        </w:rPr>
      </w:pPr>
      <w:r>
        <w:rPr>
          <w:rFonts w:hint="eastAsia" w:ascii="楷体_GB2312" w:hAnsi="黑体" w:eastAsia="楷体_GB2312"/>
          <w:sz w:val="32"/>
          <w:szCs w:val="32"/>
        </w:rPr>
        <w:t>（二）基本知识与能力要求…………………………（1）</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二、试题与评判标准…………………………………（3）</w:t>
      </w:r>
    </w:p>
    <w:p>
      <w:pPr>
        <w:spacing w:line="560" w:lineRule="exact"/>
        <w:ind w:firstLine="640" w:firstLineChars="200"/>
        <w:rPr>
          <w:rFonts w:ascii="楷体_GB2312" w:hAnsi="黑体" w:eastAsia="楷体_GB2312"/>
          <w:sz w:val="32"/>
          <w:szCs w:val="32"/>
        </w:rPr>
      </w:pPr>
      <w:r>
        <w:rPr>
          <w:rFonts w:hint="eastAsia" w:ascii="楷体_GB2312" w:hAnsi="黑体" w:eastAsia="楷体_GB2312"/>
          <w:sz w:val="32"/>
          <w:szCs w:val="32"/>
        </w:rPr>
        <w:t>（一）试题……………………………………………（3）</w:t>
      </w:r>
    </w:p>
    <w:p>
      <w:pPr>
        <w:spacing w:line="560" w:lineRule="exact"/>
        <w:ind w:firstLine="640" w:firstLineChars="200"/>
        <w:rPr>
          <w:rFonts w:ascii="楷体_GB2312" w:hAnsi="黑体" w:eastAsia="楷体_GB2312"/>
          <w:sz w:val="32"/>
          <w:szCs w:val="32"/>
        </w:rPr>
      </w:pPr>
      <w:r>
        <w:rPr>
          <w:rFonts w:hint="eastAsia" w:ascii="楷体_GB2312" w:hAnsi="黑体" w:eastAsia="楷体_GB2312"/>
          <w:sz w:val="32"/>
          <w:szCs w:val="32"/>
        </w:rPr>
        <w:t>（二）比赛时间及试题具体内容……………………（4）</w:t>
      </w:r>
    </w:p>
    <w:p>
      <w:pPr>
        <w:spacing w:line="560" w:lineRule="exact"/>
        <w:ind w:firstLine="640" w:firstLineChars="200"/>
        <w:rPr>
          <w:rFonts w:ascii="楷体_GB2312" w:hAnsi="黑体" w:eastAsia="楷体_GB2312"/>
          <w:sz w:val="32"/>
          <w:szCs w:val="32"/>
        </w:rPr>
      </w:pPr>
      <w:r>
        <w:rPr>
          <w:rFonts w:hint="eastAsia" w:ascii="楷体_GB2312" w:hAnsi="黑体" w:eastAsia="楷体_GB2312"/>
          <w:sz w:val="32"/>
          <w:szCs w:val="32"/>
        </w:rPr>
        <w:t>（三）评判标准………………………………………（6）</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三、评分流程及考核细则……………………………（7）</w:t>
      </w:r>
    </w:p>
    <w:p>
      <w:pPr>
        <w:spacing w:line="560" w:lineRule="exact"/>
        <w:ind w:firstLine="640" w:firstLineChars="200"/>
        <w:rPr>
          <w:rFonts w:ascii="楷体_GB2312" w:hAnsi="黑体" w:eastAsia="楷体_GB2312"/>
          <w:sz w:val="32"/>
          <w:szCs w:val="32"/>
        </w:rPr>
      </w:pPr>
      <w:r>
        <w:rPr>
          <w:rFonts w:hint="eastAsia" w:ascii="楷体_GB2312" w:hAnsi="黑体" w:eastAsia="楷体_GB2312"/>
          <w:sz w:val="32"/>
          <w:szCs w:val="32"/>
        </w:rPr>
        <w:t>（一）竞赛基本流程与规则…………………………</w:t>
      </w:r>
      <w:r>
        <w:rPr>
          <w:rFonts w:hint="eastAsia" w:ascii="黑体" w:hAnsi="黑体" w:eastAsia="黑体"/>
          <w:sz w:val="32"/>
          <w:szCs w:val="32"/>
        </w:rPr>
        <w:t>（7）</w:t>
      </w:r>
    </w:p>
    <w:p>
      <w:pPr>
        <w:spacing w:line="560" w:lineRule="exact"/>
        <w:ind w:firstLine="640" w:firstLineChars="200"/>
        <w:rPr>
          <w:rFonts w:ascii="楷体_GB2312" w:hAnsi="黑体" w:eastAsia="楷体_GB2312"/>
          <w:sz w:val="32"/>
          <w:szCs w:val="32"/>
        </w:rPr>
      </w:pPr>
      <w:r>
        <w:rPr>
          <w:rFonts w:hint="eastAsia" w:ascii="楷体_GB2312" w:hAnsi="黑体" w:eastAsia="楷体_GB2312"/>
          <w:sz w:val="32"/>
          <w:szCs w:val="32"/>
        </w:rPr>
        <w:t>（二）选手参赛基本流程……………………………</w:t>
      </w:r>
      <w:r>
        <w:rPr>
          <w:rFonts w:hint="eastAsia" w:ascii="黑体" w:hAnsi="黑体" w:eastAsia="黑体"/>
          <w:sz w:val="32"/>
          <w:szCs w:val="32"/>
        </w:rPr>
        <w:t>（</w:t>
      </w:r>
      <w:r>
        <w:rPr>
          <w:rFonts w:hint="eastAsia" w:ascii="黑体" w:hAnsi="黑体" w:eastAsia="黑体"/>
          <w:sz w:val="32"/>
          <w:szCs w:val="32"/>
          <w:lang w:val="en-US" w:eastAsia="zh-CN"/>
        </w:rPr>
        <w:t>8</w:t>
      </w:r>
      <w:r>
        <w:rPr>
          <w:rFonts w:hint="eastAsia" w:ascii="黑体" w:hAnsi="黑体" w:eastAsia="黑体"/>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四、竞赛场地、设施设备安排………………………（8）</w:t>
      </w:r>
    </w:p>
    <w:p>
      <w:pPr>
        <w:spacing w:line="560" w:lineRule="exact"/>
        <w:ind w:firstLine="640" w:firstLineChars="200"/>
        <w:rPr>
          <w:rFonts w:ascii="楷体_GB2312" w:hAnsi="黑体" w:eastAsia="楷体_GB2312"/>
          <w:sz w:val="32"/>
          <w:szCs w:val="32"/>
        </w:rPr>
      </w:pPr>
      <w:r>
        <w:rPr>
          <w:rFonts w:hint="eastAsia" w:ascii="楷体_GB2312" w:hAnsi="黑体" w:eastAsia="楷体_GB2312"/>
          <w:sz w:val="32"/>
          <w:szCs w:val="32"/>
        </w:rPr>
        <w:t>（一）赛场规格要求…………………………………</w:t>
      </w:r>
      <w:r>
        <w:rPr>
          <w:rFonts w:hint="eastAsia" w:ascii="黑体" w:hAnsi="黑体" w:eastAsia="黑体"/>
          <w:sz w:val="32"/>
          <w:szCs w:val="32"/>
        </w:rPr>
        <w:t>（8）</w:t>
      </w:r>
    </w:p>
    <w:p>
      <w:pPr>
        <w:spacing w:line="560" w:lineRule="exact"/>
        <w:ind w:firstLine="640" w:firstLineChars="200"/>
        <w:rPr>
          <w:rFonts w:ascii="楷体_GB2312" w:hAnsi="黑体" w:eastAsia="楷体_GB2312"/>
          <w:sz w:val="32"/>
          <w:szCs w:val="32"/>
        </w:rPr>
      </w:pPr>
      <w:r>
        <w:rPr>
          <w:rFonts w:hint="eastAsia" w:ascii="楷体_GB2312" w:hAnsi="黑体" w:eastAsia="楷体_GB2312"/>
          <w:sz w:val="32"/>
          <w:szCs w:val="32"/>
        </w:rPr>
        <w:t>（二）场地布局图……………………………………</w:t>
      </w:r>
      <w:r>
        <w:rPr>
          <w:rFonts w:hint="eastAsia" w:ascii="黑体" w:hAnsi="黑体" w:eastAsia="黑体"/>
          <w:sz w:val="32"/>
          <w:szCs w:val="32"/>
        </w:rPr>
        <w:t>（</w:t>
      </w:r>
      <w:r>
        <w:rPr>
          <w:rFonts w:hint="eastAsia" w:ascii="黑体" w:hAnsi="黑体" w:eastAsia="黑体"/>
          <w:sz w:val="32"/>
          <w:szCs w:val="32"/>
          <w:lang w:val="en-US" w:eastAsia="zh-CN"/>
        </w:rPr>
        <w:t>9</w:t>
      </w:r>
      <w:r>
        <w:rPr>
          <w:rFonts w:hint="eastAsia" w:ascii="黑体" w:hAnsi="黑体" w:eastAsia="黑体"/>
          <w:sz w:val="32"/>
          <w:szCs w:val="32"/>
        </w:rPr>
        <w:t>）</w:t>
      </w:r>
    </w:p>
    <w:p>
      <w:pPr>
        <w:spacing w:line="560" w:lineRule="exact"/>
        <w:ind w:firstLine="640" w:firstLineChars="200"/>
        <w:rPr>
          <w:rFonts w:ascii="楷体_GB2312" w:hAnsi="黑体" w:eastAsia="楷体_GB2312"/>
          <w:sz w:val="32"/>
          <w:szCs w:val="32"/>
        </w:rPr>
      </w:pPr>
      <w:bookmarkStart w:id="0" w:name="_Hlk179793102"/>
      <w:r>
        <w:rPr>
          <w:rFonts w:hint="eastAsia" w:ascii="楷体_GB2312" w:hAnsi="黑体" w:eastAsia="楷体_GB2312"/>
          <w:sz w:val="32"/>
          <w:szCs w:val="32"/>
        </w:rPr>
        <w:t>（三）基础设施清单</w:t>
      </w:r>
      <w:bookmarkEnd w:id="0"/>
      <w:r>
        <w:rPr>
          <w:rFonts w:hint="eastAsia" w:ascii="楷体_GB2312" w:hAnsi="黑体" w:eastAsia="楷体_GB2312"/>
          <w:sz w:val="32"/>
          <w:szCs w:val="32"/>
        </w:rPr>
        <w:t>…………………………………</w:t>
      </w:r>
      <w:r>
        <w:rPr>
          <w:rFonts w:hint="eastAsia" w:ascii="黑体" w:hAnsi="黑体" w:eastAsia="黑体"/>
          <w:sz w:val="32"/>
          <w:szCs w:val="32"/>
        </w:rPr>
        <w:t>（10）</w:t>
      </w:r>
      <w:bookmarkStart w:id="3" w:name="_GoBack"/>
      <w:bookmarkEnd w:id="3"/>
    </w:p>
    <w:p>
      <w:pPr>
        <w:spacing w:line="560" w:lineRule="exact"/>
        <w:ind w:firstLine="640" w:firstLineChars="200"/>
        <w:rPr>
          <w:rFonts w:ascii="黑体" w:hAnsi="黑体" w:eastAsia="黑体"/>
          <w:sz w:val="32"/>
          <w:szCs w:val="32"/>
        </w:rPr>
      </w:pPr>
      <w:r>
        <w:rPr>
          <w:rFonts w:hint="eastAsia" w:ascii="黑体" w:hAnsi="黑体" w:eastAsia="黑体"/>
          <w:sz w:val="32"/>
          <w:szCs w:val="32"/>
        </w:rPr>
        <w:t>五、工具材料安排及清单……………………………（10）</w:t>
      </w:r>
    </w:p>
    <w:p>
      <w:pPr>
        <w:spacing w:line="560" w:lineRule="exact"/>
        <w:ind w:firstLine="640" w:firstLineChars="200"/>
        <w:rPr>
          <w:rFonts w:ascii="楷体_GB2312" w:hAnsi="黑体" w:eastAsia="楷体_GB2312"/>
          <w:sz w:val="32"/>
          <w:szCs w:val="32"/>
        </w:rPr>
      </w:pPr>
      <w:r>
        <w:rPr>
          <w:rFonts w:hint="eastAsia" w:ascii="楷体_GB2312" w:hAnsi="黑体" w:eastAsia="楷体_GB2312"/>
          <w:sz w:val="32"/>
          <w:szCs w:val="32"/>
        </w:rPr>
        <w:t>（一）选手自备………………………………………</w:t>
      </w:r>
      <w:r>
        <w:rPr>
          <w:rFonts w:hint="eastAsia" w:ascii="黑体" w:hAnsi="黑体" w:eastAsia="黑体"/>
          <w:sz w:val="32"/>
          <w:szCs w:val="32"/>
        </w:rPr>
        <w:t>（11）</w:t>
      </w:r>
    </w:p>
    <w:p>
      <w:pPr>
        <w:spacing w:line="560" w:lineRule="exact"/>
        <w:ind w:firstLine="640" w:firstLineChars="200"/>
        <w:rPr>
          <w:rFonts w:ascii="楷体_GB2312" w:hAnsi="黑体" w:eastAsia="楷体_GB2312"/>
          <w:sz w:val="32"/>
          <w:szCs w:val="32"/>
        </w:rPr>
      </w:pPr>
      <w:r>
        <w:rPr>
          <w:rFonts w:hint="eastAsia" w:ascii="楷体_GB2312" w:hAnsi="黑体" w:eastAsia="楷体_GB2312"/>
          <w:sz w:val="32"/>
          <w:szCs w:val="32"/>
        </w:rPr>
        <w:t>（二）电工项目选手自带工具推荐清单……………</w:t>
      </w:r>
      <w:r>
        <w:rPr>
          <w:rFonts w:hint="eastAsia" w:ascii="黑体" w:hAnsi="黑体" w:eastAsia="黑体"/>
          <w:sz w:val="32"/>
          <w:szCs w:val="32"/>
        </w:rPr>
        <w:t>（11）</w:t>
      </w:r>
    </w:p>
    <w:p>
      <w:pPr>
        <w:spacing w:line="560" w:lineRule="exact"/>
        <w:ind w:firstLine="640" w:firstLineChars="200"/>
        <w:rPr>
          <w:rFonts w:ascii="黑体" w:hAnsi="黑体" w:eastAsia="黑体"/>
          <w:sz w:val="32"/>
          <w:szCs w:val="32"/>
        </w:rPr>
        <w:sectPr>
          <w:pgSz w:w="11906" w:h="16838"/>
          <w:pgMar w:top="2211" w:right="1474" w:bottom="1871" w:left="1588" w:header="851" w:footer="992" w:gutter="0"/>
          <w:cols w:space="425" w:num="1"/>
          <w:docGrid w:type="lines" w:linePitch="312" w:charSpace="0"/>
        </w:sectPr>
      </w:pPr>
      <w:r>
        <w:rPr>
          <w:rFonts w:hint="eastAsia" w:ascii="黑体" w:hAnsi="黑体" w:eastAsia="黑体"/>
          <w:sz w:val="32"/>
          <w:szCs w:val="32"/>
        </w:rPr>
        <w:t>六、项目特殊说明……………………………………（11）</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一、技术描述</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（一）项目概要</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电工竞赛项目包含电路设计与搭建、电气设备故障诊断与维修、</w:t>
      </w:r>
      <w:r>
        <w:rPr>
          <w:rFonts w:ascii="仿宋_GB2312" w:eastAsia="仿宋_GB2312"/>
          <w:sz w:val="32"/>
          <w:szCs w:val="32"/>
        </w:rPr>
        <w:t>PLC编程与自动化控制、电力系统分析与优化、生产数字化技术（含PLC编程技术）和其系统开发等领域。通过企业典型工作任务的工作任务书要求完成指定功能的可编程序控制系统的设计、安装与调试，使其达到企业定制化系统需求的竞赛项目。比赛中对选手的技能要求主要包括：画表、绘图、工具仪表的使用、安装布线、程序输入及调试。</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（二）基本知识与能力要求</w:t>
      </w:r>
    </w:p>
    <w:tbl>
      <w:tblPr>
        <w:tblStyle w:val="20"/>
        <w:tblW w:w="8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3"/>
        <w:gridCol w:w="5044"/>
        <w:gridCol w:w="20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6577" w:type="dxa"/>
            <w:gridSpan w:val="2"/>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spacing w:val="2"/>
                <w:kern w:val="0"/>
                <w:sz w:val="32"/>
                <w:szCs w:val="32"/>
              </w:rPr>
              <w:t>相关要求</w:t>
            </w:r>
          </w:p>
        </w:tc>
        <w:tc>
          <w:tcPr>
            <w:tcW w:w="2052" w:type="dxa"/>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spacing w:val="7"/>
                <w:kern w:val="0"/>
                <w:sz w:val="32"/>
                <w:szCs w:val="32"/>
              </w:rPr>
              <w:t>权重比例(%)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533" w:type="dxa"/>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kern w:val="0"/>
                <w:sz w:val="32"/>
                <w:szCs w:val="32"/>
              </w:rPr>
              <w:t>项目1</w:t>
            </w:r>
          </w:p>
        </w:tc>
        <w:tc>
          <w:tcPr>
            <w:tcW w:w="5044" w:type="dxa"/>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spacing w:val="-1"/>
                <w:kern w:val="0"/>
                <w:sz w:val="32"/>
                <w:szCs w:val="32"/>
              </w:rPr>
              <w:t>理论知识（初赛）</w:t>
            </w:r>
          </w:p>
        </w:tc>
        <w:tc>
          <w:tcPr>
            <w:tcW w:w="2052" w:type="dxa"/>
            <w:vMerge w:val="restart"/>
            <w:tcBorders>
              <w:top w:val="single" w:color="000000" w:sz="2" w:space="0"/>
              <w:bottom w:val="nil"/>
            </w:tcBorders>
            <w:vAlign w:val="center"/>
          </w:tcPr>
          <w:p>
            <w:pPr>
              <w:widowControl/>
              <w:kinsoku w:val="0"/>
              <w:autoSpaceDE w:val="0"/>
              <w:autoSpaceDN w:val="0"/>
              <w:adjustRightInd w:val="0"/>
              <w:snapToGrid w:val="0"/>
              <w:spacing w:before="78" w:line="560" w:lineRule="exact"/>
              <w:jc w:val="center"/>
              <w:textAlignment w:val="baseline"/>
              <w:rPr>
                <w:rFonts w:ascii="仿宋_GB2312" w:hAnsi="仿宋" w:eastAsia="仿宋_GB2312" w:cs="仿宋"/>
                <w:snapToGrid w:val="0"/>
                <w:color w:val="000000"/>
                <w:kern w:val="0"/>
                <w:sz w:val="32"/>
                <w:szCs w:val="32"/>
              </w:rPr>
            </w:pPr>
            <w:r>
              <w:rPr>
                <w:rFonts w:ascii="仿宋_GB2312" w:hAnsi="仿宋" w:eastAsia="仿宋_GB2312" w:cs="仿宋"/>
                <w:snapToGrid w:val="0"/>
                <w:color w:val="000000"/>
                <w:spacing w:val="7"/>
                <w:kern w:val="0"/>
                <w:sz w:val="32"/>
                <w:szCs w:val="32"/>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4" w:hRule="atLeast"/>
          <w:jc w:val="center"/>
        </w:trPr>
        <w:tc>
          <w:tcPr>
            <w:tcW w:w="1533" w:type="dxa"/>
            <w:tcBorders>
              <w:top w:val="single" w:color="000000" w:sz="2" w:space="0"/>
              <w:bottom w:val="single" w:color="000000" w:sz="2" w:space="0"/>
            </w:tcBorders>
            <w:vAlign w:val="center"/>
          </w:tcPr>
          <w:p>
            <w:pPr>
              <w:widowControl/>
              <w:kinsoku w:val="0"/>
              <w:autoSpaceDE w:val="0"/>
              <w:autoSpaceDN w:val="0"/>
              <w:adjustRightInd w:val="0"/>
              <w:snapToGrid w:val="0"/>
              <w:spacing w:before="78" w:line="560" w:lineRule="exact"/>
              <w:jc w:val="center"/>
              <w:textAlignment w:val="baseline"/>
              <w:rPr>
                <w:rFonts w:ascii="楷体_GB2312" w:hAnsi="仿宋" w:eastAsia="楷体_GB2312" w:cs="仿宋"/>
                <w:snapToGrid w:val="0"/>
                <w:color w:val="000000"/>
                <w:kern w:val="0"/>
                <w:sz w:val="32"/>
                <w:szCs w:val="32"/>
              </w:rPr>
            </w:pPr>
            <w:r>
              <w:rPr>
                <w:rFonts w:hint="eastAsia" w:ascii="楷体_GB2312" w:hAnsi="仿宋" w:eastAsia="楷体_GB2312" w:cs="仿宋"/>
                <w:snapToGrid w:val="0"/>
                <w:color w:val="000000"/>
                <w:spacing w:val="3"/>
                <w:kern w:val="0"/>
                <w:sz w:val="32"/>
                <w:szCs w:val="32"/>
              </w:rPr>
              <w:t>基本知识</w:t>
            </w:r>
          </w:p>
        </w:tc>
        <w:tc>
          <w:tcPr>
            <w:tcW w:w="5044" w:type="dxa"/>
            <w:tcBorders>
              <w:top w:val="single" w:color="000000" w:sz="2" w:space="0"/>
              <w:bottom w:val="single" w:color="000000" w:sz="2" w:space="0"/>
            </w:tcBorders>
            <w:vAlign w:val="center"/>
          </w:tcPr>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-能熟悉了解相关法律、法规和规定</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-能熟悉了解质量管理、职业素养</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-能熟悉了解安全规范和电工专业基础</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-能熟悉了解继电控制电路知识</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-能熟悉了解自动控制电路知识</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-能熟悉了解电子技术知识</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-能熟悉了解交直流传动系统知识</w:t>
            </w:r>
          </w:p>
        </w:tc>
        <w:tc>
          <w:tcPr>
            <w:tcW w:w="2052" w:type="dxa"/>
            <w:vMerge w:val="continue"/>
            <w:tcBorders>
              <w:top w:val="nil"/>
              <w:bottom w:val="nil"/>
            </w:tcBorders>
            <w:vAlign w:val="center"/>
          </w:tcPr>
          <w:p>
            <w:pPr>
              <w:widowControl/>
              <w:kinsoku w:val="0"/>
              <w:autoSpaceDE w:val="0"/>
              <w:autoSpaceDN w:val="0"/>
              <w:adjustRightInd w:val="0"/>
              <w:snapToGrid w:val="0"/>
              <w:spacing w:line="560" w:lineRule="exact"/>
              <w:jc w:val="center"/>
              <w:textAlignment w:val="baseline"/>
              <w:rPr>
                <w:rFonts w:ascii="仿宋_GB2312" w:hAnsi="仿宋" w:eastAsia="仿宋_GB2312" w:cs="仿宋"/>
                <w:snapToGrid w:val="0"/>
                <w:color w:val="000000"/>
                <w:kern w:val="0"/>
                <w:sz w:val="32"/>
                <w:szCs w:val="32"/>
              </w:rPr>
            </w:pPr>
          </w:p>
        </w:tc>
      </w:tr>
    </w:tbl>
    <w:p/>
    <w:tbl>
      <w:tblPr>
        <w:tblStyle w:val="20"/>
        <w:tblW w:w="8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3"/>
        <w:gridCol w:w="5044"/>
        <w:gridCol w:w="20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5" w:hRule="atLeast"/>
          <w:jc w:val="center"/>
        </w:trPr>
        <w:tc>
          <w:tcPr>
            <w:tcW w:w="1533" w:type="dxa"/>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kern w:val="0"/>
                <w:sz w:val="32"/>
                <w:szCs w:val="32"/>
              </w:rPr>
              <w:t>项目1</w:t>
            </w:r>
          </w:p>
        </w:tc>
        <w:tc>
          <w:tcPr>
            <w:tcW w:w="5044" w:type="dxa"/>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spacing w:val="-1"/>
                <w:kern w:val="0"/>
                <w:sz w:val="32"/>
                <w:szCs w:val="32"/>
              </w:rPr>
              <w:t>理论知识（初赛）</w:t>
            </w:r>
          </w:p>
        </w:tc>
        <w:tc>
          <w:tcPr>
            <w:tcW w:w="2052" w:type="dxa"/>
            <w:vMerge w:val="restart"/>
            <w:tcBorders>
              <w:top w:val="nil"/>
            </w:tcBorders>
            <w:vAlign w:val="center"/>
          </w:tcPr>
          <w:p>
            <w:pPr>
              <w:widowControl/>
              <w:kinsoku w:val="0"/>
              <w:autoSpaceDE w:val="0"/>
              <w:autoSpaceDN w:val="0"/>
              <w:adjustRightInd w:val="0"/>
              <w:snapToGrid w:val="0"/>
              <w:spacing w:line="560" w:lineRule="exact"/>
              <w:jc w:val="center"/>
              <w:textAlignment w:val="baseline"/>
              <w:rPr>
                <w:rFonts w:ascii="仿宋_GB2312" w:hAnsi="仿宋" w:eastAsia="仿宋_GB2312" w:cs="仿宋"/>
                <w:snapToGrid w:val="0"/>
                <w:color w:val="000000"/>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5" w:hRule="atLeast"/>
          <w:jc w:val="center"/>
        </w:trPr>
        <w:tc>
          <w:tcPr>
            <w:tcW w:w="1533" w:type="dxa"/>
            <w:tcBorders>
              <w:top w:val="single" w:color="000000" w:sz="2" w:space="0"/>
              <w:bottom w:val="single" w:color="000000" w:sz="2" w:space="0"/>
            </w:tcBorders>
            <w:vAlign w:val="center"/>
          </w:tcPr>
          <w:p>
            <w:pPr>
              <w:widowControl/>
              <w:kinsoku w:val="0"/>
              <w:autoSpaceDE w:val="0"/>
              <w:autoSpaceDN w:val="0"/>
              <w:adjustRightInd w:val="0"/>
              <w:snapToGrid w:val="0"/>
              <w:spacing w:before="78" w:line="560" w:lineRule="exact"/>
              <w:jc w:val="center"/>
              <w:textAlignment w:val="baseline"/>
              <w:rPr>
                <w:rFonts w:ascii="楷体_GB2312" w:hAnsi="仿宋" w:eastAsia="楷体_GB2312" w:cs="仿宋"/>
                <w:snapToGrid w:val="0"/>
                <w:color w:val="000000"/>
                <w:kern w:val="0"/>
                <w:sz w:val="32"/>
                <w:szCs w:val="32"/>
              </w:rPr>
            </w:pPr>
            <w:r>
              <w:rPr>
                <w:rFonts w:hint="eastAsia" w:ascii="楷体_GB2312" w:hAnsi="仿宋" w:eastAsia="楷体_GB2312" w:cs="仿宋"/>
                <w:snapToGrid w:val="0"/>
                <w:color w:val="000000"/>
                <w:spacing w:val="2"/>
                <w:kern w:val="0"/>
                <w:sz w:val="32"/>
                <w:szCs w:val="32"/>
              </w:rPr>
              <w:t>工作能力</w:t>
            </w:r>
          </w:p>
        </w:tc>
        <w:tc>
          <w:tcPr>
            <w:tcW w:w="5044" w:type="dxa"/>
            <w:tcBorders>
              <w:top w:val="single" w:color="000000" w:sz="2" w:space="0"/>
              <w:bottom w:val="single" w:color="000000" w:sz="2" w:space="0"/>
            </w:tcBorders>
            <w:vAlign w:val="center"/>
          </w:tcPr>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-能正确理解各种电工标准、规则和法规</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-能严格遵守电气安全规范</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-能正确理解电路、电气应用知识</w:t>
            </w:r>
          </w:p>
        </w:tc>
        <w:tc>
          <w:tcPr>
            <w:tcW w:w="2052" w:type="dxa"/>
            <w:vMerge w:val="continue"/>
            <w:tcBorders>
              <w:bottom w:val="single" w:color="auto" w:sz="4" w:space="0"/>
            </w:tcBorders>
            <w:vAlign w:val="center"/>
          </w:tcPr>
          <w:p>
            <w:pPr>
              <w:widowControl/>
              <w:kinsoku w:val="0"/>
              <w:autoSpaceDE w:val="0"/>
              <w:autoSpaceDN w:val="0"/>
              <w:adjustRightInd w:val="0"/>
              <w:snapToGrid w:val="0"/>
              <w:spacing w:line="560" w:lineRule="exact"/>
              <w:jc w:val="center"/>
              <w:textAlignment w:val="baseline"/>
              <w:rPr>
                <w:rFonts w:ascii="仿宋_GB2312" w:hAnsi="仿宋" w:eastAsia="仿宋_GB2312" w:cs="仿宋"/>
                <w:snapToGrid w:val="0"/>
                <w:color w:val="000000"/>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jc w:val="center"/>
        </w:trPr>
        <w:tc>
          <w:tcPr>
            <w:tcW w:w="1533" w:type="dxa"/>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kern w:val="0"/>
                <w:sz w:val="32"/>
                <w:szCs w:val="32"/>
              </w:rPr>
              <w:t>项目2</w:t>
            </w:r>
          </w:p>
        </w:tc>
        <w:tc>
          <w:tcPr>
            <w:tcW w:w="5044" w:type="dxa"/>
            <w:tcBorders>
              <w:top w:val="single" w:color="000000" w:sz="2" w:space="0"/>
              <w:bottom w:val="single" w:color="000000" w:sz="2" w:space="0"/>
              <w:right w:val="single" w:color="auto" w:sz="4"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kern w:val="0"/>
                <w:sz w:val="32"/>
                <w:szCs w:val="32"/>
              </w:rPr>
              <w:t>实操技能（决赛）</w:t>
            </w:r>
          </w:p>
        </w:tc>
        <w:tc>
          <w:tcPr>
            <w:tcW w:w="2052" w:type="dxa"/>
            <w:vMerge w:val="restart"/>
            <w:tcBorders>
              <w:top w:val="single" w:color="auto" w:sz="4" w:space="0"/>
              <w:left w:val="single" w:color="auto" w:sz="4" w:space="0"/>
              <w:bottom w:val="nil"/>
              <w:right w:val="single" w:color="auto" w:sz="4" w:space="0"/>
            </w:tcBorders>
            <w:vAlign w:val="center"/>
          </w:tcPr>
          <w:p>
            <w:pPr>
              <w:widowControl/>
              <w:kinsoku w:val="0"/>
              <w:autoSpaceDE w:val="0"/>
              <w:autoSpaceDN w:val="0"/>
              <w:adjustRightInd w:val="0"/>
              <w:snapToGrid w:val="0"/>
              <w:spacing w:before="78" w:line="560" w:lineRule="exact"/>
              <w:jc w:val="center"/>
              <w:textAlignment w:val="baseline"/>
              <w:rPr>
                <w:rFonts w:ascii="仿宋_GB2312" w:hAnsi="仿宋" w:eastAsia="仿宋_GB2312" w:cs="仿宋"/>
                <w:snapToGrid w:val="0"/>
                <w:color w:val="000000"/>
                <w:spacing w:val="7"/>
                <w:kern w:val="0"/>
                <w:sz w:val="32"/>
                <w:szCs w:val="32"/>
              </w:rPr>
            </w:pPr>
            <w:r>
              <w:rPr>
                <w:rFonts w:ascii="仿宋_GB2312" w:hAnsi="仿宋" w:eastAsia="仿宋_GB2312" w:cs="仿宋"/>
                <w:snapToGrid w:val="0"/>
                <w:color w:val="000000"/>
                <w:spacing w:val="7"/>
                <w:kern w:val="0"/>
                <w:sz w:val="32"/>
                <w:szCs w:val="32"/>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jc w:val="center"/>
        </w:trPr>
        <w:tc>
          <w:tcPr>
            <w:tcW w:w="1533" w:type="dxa"/>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楷体_GB2312" w:hAnsi="仿宋" w:eastAsia="楷体_GB2312" w:cs="仿宋"/>
                <w:snapToGrid w:val="0"/>
                <w:color w:val="000000"/>
                <w:kern w:val="0"/>
                <w:sz w:val="32"/>
                <w:szCs w:val="32"/>
              </w:rPr>
            </w:pPr>
            <w:r>
              <w:rPr>
                <w:rFonts w:hint="eastAsia" w:ascii="楷体_GB2312" w:hAnsi="仿宋" w:eastAsia="楷体_GB2312" w:cs="仿宋"/>
                <w:snapToGrid w:val="0"/>
                <w:color w:val="000000"/>
                <w:kern w:val="0"/>
                <w:sz w:val="32"/>
                <w:szCs w:val="32"/>
              </w:rPr>
              <w:t>基本知识</w:t>
            </w:r>
          </w:p>
        </w:tc>
        <w:tc>
          <w:tcPr>
            <w:tcW w:w="5044" w:type="dxa"/>
            <w:tcBorders>
              <w:top w:val="single" w:color="000000" w:sz="2" w:space="0"/>
              <w:bottom w:val="single" w:color="000000" w:sz="2" w:space="0"/>
              <w:right w:val="single" w:color="auto" w:sz="4" w:space="0"/>
            </w:tcBorders>
            <w:vAlign w:val="center"/>
          </w:tcPr>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-能熟悉了解画表、绘图</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-能熟悉了解工具仪表的工作原理和使用方法</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-能熟悉了解安装布线的规则与安全要求</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-能熟悉了解程序输入和程序调试</w:t>
            </w:r>
          </w:p>
        </w:tc>
        <w:tc>
          <w:tcPr>
            <w:tcW w:w="2052" w:type="dxa"/>
            <w:vMerge w:val="continue"/>
            <w:tcBorders>
              <w:top w:val="nil"/>
              <w:left w:val="single" w:color="auto" w:sz="4" w:space="0"/>
              <w:bottom w:val="nil"/>
              <w:right w:val="single" w:color="auto" w:sz="4" w:space="0"/>
            </w:tcBorders>
            <w:vAlign w:val="center"/>
          </w:tcPr>
          <w:p>
            <w:pPr>
              <w:widowControl/>
              <w:kinsoku w:val="0"/>
              <w:autoSpaceDE w:val="0"/>
              <w:autoSpaceDN w:val="0"/>
              <w:adjustRightInd w:val="0"/>
              <w:snapToGrid w:val="0"/>
              <w:spacing w:before="78" w:line="560" w:lineRule="exact"/>
              <w:ind w:firstLine="317"/>
              <w:jc w:val="center"/>
              <w:textAlignment w:val="baseline"/>
              <w:rPr>
                <w:rFonts w:ascii="仿宋_GB2312" w:hAnsi="仿宋" w:eastAsia="仿宋_GB2312" w:cs="仿宋"/>
                <w:snapToGrid w:val="0"/>
                <w:color w:val="000000"/>
                <w:spacing w:val="7"/>
                <w:kern w:val="0"/>
                <w:sz w:val="32"/>
                <w:szCs w:val="32"/>
              </w:rPr>
            </w:pPr>
          </w:p>
        </w:tc>
      </w:tr>
    </w:tbl>
    <w:p>
      <w:r>
        <w:br w:type="page"/>
      </w:r>
    </w:p>
    <w:p/>
    <w:tbl>
      <w:tblPr>
        <w:tblStyle w:val="20"/>
        <w:tblW w:w="8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3"/>
        <w:gridCol w:w="5044"/>
        <w:gridCol w:w="20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533" w:type="dxa"/>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kern w:val="0"/>
                <w:sz w:val="32"/>
                <w:szCs w:val="32"/>
              </w:rPr>
              <w:t>项目2</w:t>
            </w:r>
          </w:p>
        </w:tc>
        <w:tc>
          <w:tcPr>
            <w:tcW w:w="5044" w:type="dxa"/>
            <w:tcBorders>
              <w:top w:val="single" w:color="000000" w:sz="2" w:space="0"/>
              <w:bottom w:val="single" w:color="000000" w:sz="2" w:space="0"/>
              <w:right w:val="single" w:color="auto" w:sz="4"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kern w:val="0"/>
                <w:sz w:val="32"/>
                <w:szCs w:val="32"/>
              </w:rPr>
              <w:t>实操技能（决赛）</w:t>
            </w:r>
          </w:p>
        </w:tc>
        <w:tc>
          <w:tcPr>
            <w:tcW w:w="2052" w:type="dxa"/>
            <w:vMerge w:val="restart"/>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78" w:line="560" w:lineRule="exact"/>
              <w:jc w:val="center"/>
              <w:textAlignment w:val="baseline"/>
              <w:rPr>
                <w:rFonts w:ascii="仿宋_GB2312" w:hAnsi="仿宋" w:eastAsia="仿宋_GB2312" w:cs="仿宋"/>
                <w:snapToGrid w:val="0"/>
                <w:color w:val="000000"/>
                <w:spacing w:val="7"/>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533" w:type="dxa"/>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楷体_GB2312" w:hAnsi="仿宋" w:eastAsia="楷体_GB2312" w:cs="仿宋"/>
                <w:snapToGrid w:val="0"/>
                <w:color w:val="000000"/>
                <w:kern w:val="0"/>
                <w:sz w:val="32"/>
                <w:szCs w:val="32"/>
              </w:rPr>
            </w:pPr>
            <w:r>
              <w:rPr>
                <w:rFonts w:hint="eastAsia" w:ascii="楷体_GB2312" w:hAnsi="仿宋" w:eastAsia="楷体_GB2312" w:cs="仿宋"/>
                <w:snapToGrid w:val="0"/>
                <w:color w:val="000000"/>
                <w:kern w:val="0"/>
                <w:sz w:val="32"/>
                <w:szCs w:val="32"/>
              </w:rPr>
              <w:t>工作能力</w:t>
            </w:r>
          </w:p>
        </w:tc>
        <w:tc>
          <w:tcPr>
            <w:tcW w:w="5044" w:type="dxa"/>
            <w:tcBorders>
              <w:top w:val="single" w:color="000000" w:sz="2" w:space="0"/>
              <w:bottom w:val="single" w:color="000000" w:sz="2" w:space="0"/>
              <w:right w:val="single" w:color="auto" w:sz="4" w:space="0"/>
            </w:tcBorders>
            <w:vAlign w:val="center"/>
          </w:tcPr>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-能时刻保持着装要求、工位整理</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-能时刻保持安全意识、规范操作工具摆放</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-能合理分配元件地址，规范填写分配表；</w:t>
            </w:r>
            <w:r>
              <w:rPr>
                <w:rFonts w:hint="eastAsia" w:ascii="仿宋_GB2312" w:hAnsi="仿宋" w:eastAsia="仿宋_GB2312" w:cs="仿宋"/>
                <w:snapToGrid w:val="0"/>
                <w:color w:val="000000"/>
                <w:kern w:val="0"/>
                <w:sz w:val="32"/>
                <w:szCs w:val="32"/>
              </w:rPr>
              <w:br w:type="textWrapping"/>
            </w:r>
            <w:r>
              <w:rPr>
                <w:rFonts w:hint="eastAsia" w:ascii="仿宋_GB2312" w:hAnsi="仿宋" w:eastAsia="仿宋_GB2312" w:cs="仿宋"/>
                <w:snapToGrid w:val="0"/>
                <w:color w:val="000000"/>
                <w:kern w:val="0"/>
                <w:sz w:val="32"/>
                <w:szCs w:val="32"/>
              </w:rPr>
              <w:t>-能正确规范绘制PLC控制电气原理图,理解PLC控制原理；</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-能正确使用仪表和工具；</w:t>
            </w:r>
            <w:r>
              <w:rPr>
                <w:rFonts w:hint="eastAsia" w:ascii="仿宋_GB2312" w:hAnsi="仿宋" w:eastAsia="仿宋_GB2312" w:cs="仿宋"/>
                <w:snapToGrid w:val="0"/>
                <w:color w:val="000000"/>
                <w:kern w:val="0"/>
                <w:sz w:val="32"/>
                <w:szCs w:val="32"/>
              </w:rPr>
              <w:br w:type="textWrapping"/>
            </w:r>
            <w:r>
              <w:rPr>
                <w:rFonts w:hint="eastAsia" w:ascii="仿宋_GB2312" w:hAnsi="仿宋" w:eastAsia="仿宋_GB2312" w:cs="仿宋"/>
                <w:snapToGrid w:val="0"/>
                <w:color w:val="000000"/>
                <w:kern w:val="0"/>
                <w:sz w:val="32"/>
                <w:szCs w:val="32"/>
              </w:rPr>
              <w:t>-能合理进行电气元件布局，安装元器件；</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-能依据电气原理图，规范正确安装考核线路。</w:t>
            </w:r>
          </w:p>
          <w:p>
            <w:pPr>
              <w:widowControl/>
              <w:kinsoku w:val="0"/>
              <w:autoSpaceDE w:val="0"/>
              <w:autoSpaceDN w:val="0"/>
              <w:adjustRightInd w:val="0"/>
              <w:snapToGrid w:val="0"/>
              <w:spacing w:before="46" w:line="560" w:lineRule="exact"/>
              <w:ind w:left="121" w:right="262"/>
              <w:textAlignment w:val="baseline"/>
              <w:rPr>
                <w:rFonts w:ascii="仿宋_GB2312" w:hAnsi="仿宋" w:eastAsia="仿宋_GB2312" w:cs="仿宋"/>
                <w:snapToGrid w:val="0"/>
                <w:color w:val="000000"/>
                <w:kern w:val="0"/>
                <w:sz w:val="32"/>
                <w:szCs w:val="32"/>
              </w:rPr>
            </w:pPr>
            <w:r>
              <w:rPr>
                <w:rFonts w:hint="eastAsia" w:ascii="仿宋_GB2312" w:hAnsi="仿宋" w:eastAsia="仿宋_GB2312" w:cs="仿宋"/>
                <w:snapToGrid w:val="0"/>
                <w:color w:val="000000"/>
                <w:kern w:val="0"/>
                <w:sz w:val="32"/>
                <w:szCs w:val="32"/>
              </w:rPr>
              <w:t>-能熟练操作可编程序控制器。</w:t>
            </w:r>
            <w:r>
              <w:rPr>
                <w:rFonts w:hint="eastAsia" w:ascii="仿宋_GB2312" w:hAnsi="仿宋" w:eastAsia="仿宋_GB2312" w:cs="仿宋"/>
                <w:snapToGrid w:val="0"/>
                <w:color w:val="000000"/>
                <w:kern w:val="0"/>
                <w:sz w:val="32"/>
                <w:szCs w:val="32"/>
              </w:rPr>
              <w:br w:type="textWrapping"/>
            </w:r>
            <w:r>
              <w:rPr>
                <w:rFonts w:hint="eastAsia" w:ascii="仿宋_GB2312" w:hAnsi="仿宋" w:eastAsia="仿宋_GB2312" w:cs="仿宋"/>
                <w:snapToGrid w:val="0"/>
                <w:color w:val="000000"/>
                <w:kern w:val="0"/>
                <w:sz w:val="32"/>
                <w:szCs w:val="32"/>
              </w:rPr>
              <w:t>-能按照系统的控制要求进行操作调试,达到控制要求。</w:t>
            </w:r>
          </w:p>
        </w:tc>
        <w:tc>
          <w:tcPr>
            <w:tcW w:w="2052" w:type="dxa"/>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78" w:line="560" w:lineRule="exact"/>
              <w:ind w:firstLine="317"/>
              <w:jc w:val="center"/>
              <w:textAlignment w:val="baseline"/>
              <w:rPr>
                <w:rFonts w:ascii="仿宋_GB2312" w:hAnsi="仿宋" w:eastAsia="仿宋_GB2312" w:cs="仿宋"/>
                <w:snapToGrid w:val="0"/>
                <w:color w:val="000000"/>
                <w:spacing w:val="7"/>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533" w:type="dxa"/>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kern w:val="0"/>
                <w:sz w:val="32"/>
                <w:szCs w:val="32"/>
              </w:rPr>
              <w:t>合计</w:t>
            </w:r>
          </w:p>
        </w:tc>
        <w:tc>
          <w:tcPr>
            <w:tcW w:w="5044" w:type="dxa"/>
            <w:tcBorders>
              <w:top w:val="single" w:color="000000" w:sz="2"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p>
        </w:tc>
        <w:tc>
          <w:tcPr>
            <w:tcW w:w="2052" w:type="dxa"/>
            <w:tcBorders>
              <w:top w:val="single" w:color="auto" w:sz="4" w:space="0"/>
              <w:bottom w:val="single" w:color="000000" w:sz="2" w:space="0"/>
            </w:tcBorders>
            <w:vAlign w:val="center"/>
          </w:tcPr>
          <w:p>
            <w:pPr>
              <w:widowControl/>
              <w:kinsoku w:val="0"/>
              <w:autoSpaceDE w:val="0"/>
              <w:autoSpaceDN w:val="0"/>
              <w:adjustRightInd w:val="0"/>
              <w:snapToGrid w:val="0"/>
              <w:spacing w:line="560" w:lineRule="exact"/>
              <w:jc w:val="center"/>
              <w:textAlignment w:val="baseline"/>
              <w:rPr>
                <w:rFonts w:ascii="黑体" w:hAnsi="黑体" w:eastAsia="黑体" w:cs="仿宋"/>
                <w:snapToGrid w:val="0"/>
                <w:color w:val="000000"/>
                <w:kern w:val="0"/>
                <w:sz w:val="32"/>
                <w:szCs w:val="32"/>
              </w:rPr>
            </w:pPr>
            <w:r>
              <w:rPr>
                <w:rFonts w:hint="eastAsia" w:ascii="黑体" w:hAnsi="黑体" w:eastAsia="黑体" w:cs="仿宋"/>
                <w:snapToGrid w:val="0"/>
                <w:color w:val="000000"/>
                <w:kern w:val="0"/>
                <w:sz w:val="32"/>
                <w:szCs w:val="32"/>
              </w:rPr>
              <w:t>100</w:t>
            </w:r>
          </w:p>
        </w:tc>
      </w:tr>
    </w:tbl>
    <w:p>
      <w:pPr>
        <w:spacing w:line="560" w:lineRule="exact"/>
        <w:ind w:firstLine="640" w:firstLineChars="200"/>
        <w:rPr>
          <w:rFonts w:ascii="黑体" w:hAnsi="黑体" w:eastAsia="黑体"/>
          <w:sz w:val="32"/>
          <w:szCs w:val="32"/>
        </w:rPr>
      </w:pPr>
      <w:r>
        <w:rPr>
          <w:rFonts w:hint="eastAsia" w:ascii="黑体" w:hAnsi="黑体" w:eastAsia="黑体"/>
          <w:sz w:val="32"/>
          <w:szCs w:val="32"/>
        </w:rPr>
        <w:t>二、试题与评判标准</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（一）试题</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次竞赛为市级二类竞赛，根据电工行业相关法律、政策和标准，结合企业及行业实际情况，适当增加新技术、新技能等内容。竞赛内容参照以电工高级（三级）国家职业标准为依据制定本次竞赛标准，竞赛试题统一由竞赛组委会组织专家命题。</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（二）比赛时间及试题具体内容</w:t>
      </w:r>
    </w:p>
    <w:p>
      <w:pPr>
        <w:spacing w:line="560" w:lineRule="exact"/>
        <w:ind w:firstLine="643" w:firstLineChars="200"/>
        <w:rPr>
          <w:rFonts w:ascii="仿宋_GB2312" w:eastAsia="仿宋_GB2312"/>
          <w:b/>
          <w:bCs/>
          <w:sz w:val="32"/>
          <w:szCs w:val="32"/>
        </w:rPr>
      </w:pPr>
      <w:r>
        <w:rPr>
          <w:rFonts w:ascii="仿宋_GB2312" w:eastAsia="仿宋_GB2312"/>
          <w:b/>
          <w:bCs/>
          <w:sz w:val="32"/>
          <w:szCs w:val="32"/>
        </w:rPr>
        <w:t>1.比赛时间安排</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941"/>
        <w:gridCol w:w="1837"/>
        <w:gridCol w:w="4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tcPr>
          <w:p>
            <w:pPr>
              <w:spacing w:line="560" w:lineRule="exact"/>
              <w:jc w:val="center"/>
              <w:rPr>
                <w:rFonts w:ascii="黑体" w:hAnsi="黑体" w:eastAsia="黑体" w:cs="仿宋_GB2312"/>
                <w:snapToGrid w:val="0"/>
                <w:color w:val="000000"/>
                <w:sz w:val="32"/>
                <w:szCs w:val="32"/>
              </w:rPr>
            </w:pPr>
            <w:r>
              <w:rPr>
                <w:rFonts w:hint="eastAsia" w:ascii="黑体" w:hAnsi="黑体" w:eastAsia="黑体" w:cs="仿宋_GB2312"/>
                <w:snapToGrid w:val="0"/>
                <w:color w:val="000000"/>
                <w:sz w:val="32"/>
                <w:szCs w:val="32"/>
              </w:rPr>
              <w:t>序号</w:t>
            </w:r>
          </w:p>
        </w:tc>
        <w:tc>
          <w:tcPr>
            <w:tcW w:w="941" w:type="dxa"/>
          </w:tcPr>
          <w:p>
            <w:pPr>
              <w:spacing w:line="560" w:lineRule="exact"/>
              <w:jc w:val="center"/>
              <w:rPr>
                <w:rFonts w:ascii="黑体" w:hAnsi="黑体" w:eastAsia="黑体" w:cs="仿宋_GB2312"/>
                <w:snapToGrid w:val="0"/>
                <w:color w:val="000000"/>
                <w:sz w:val="32"/>
                <w:szCs w:val="32"/>
              </w:rPr>
            </w:pPr>
            <w:r>
              <w:rPr>
                <w:rFonts w:hint="eastAsia" w:ascii="黑体" w:hAnsi="黑体" w:eastAsia="黑体" w:cs="仿宋_GB2312"/>
                <w:snapToGrid w:val="0"/>
                <w:color w:val="000000"/>
                <w:sz w:val="32"/>
                <w:szCs w:val="32"/>
              </w:rPr>
              <w:t>赛项</w:t>
            </w:r>
          </w:p>
        </w:tc>
        <w:tc>
          <w:tcPr>
            <w:tcW w:w="1837" w:type="dxa"/>
          </w:tcPr>
          <w:p>
            <w:pPr>
              <w:spacing w:line="560" w:lineRule="exact"/>
              <w:jc w:val="center"/>
              <w:rPr>
                <w:rFonts w:ascii="黑体" w:hAnsi="黑体" w:eastAsia="黑体" w:cs="仿宋_GB2312"/>
                <w:snapToGrid w:val="0"/>
                <w:color w:val="000000"/>
                <w:sz w:val="32"/>
                <w:szCs w:val="32"/>
              </w:rPr>
            </w:pPr>
            <w:r>
              <w:rPr>
                <w:rFonts w:hint="eastAsia" w:ascii="黑体" w:hAnsi="黑体" w:eastAsia="黑体" w:cs="仿宋_GB2312"/>
                <w:snapToGrid w:val="0"/>
                <w:color w:val="000000"/>
                <w:sz w:val="32"/>
                <w:szCs w:val="32"/>
              </w:rPr>
              <w:t>日期</w:t>
            </w:r>
          </w:p>
        </w:tc>
        <w:tc>
          <w:tcPr>
            <w:tcW w:w="4870" w:type="dxa"/>
          </w:tcPr>
          <w:p>
            <w:pPr>
              <w:spacing w:line="560" w:lineRule="exact"/>
              <w:jc w:val="center"/>
              <w:rPr>
                <w:rFonts w:ascii="黑体" w:hAnsi="黑体" w:eastAsia="黑体" w:cs="仿宋_GB2312"/>
                <w:snapToGrid w:val="0"/>
                <w:color w:val="000000"/>
                <w:sz w:val="32"/>
                <w:szCs w:val="32"/>
              </w:rPr>
            </w:pPr>
            <w:r>
              <w:rPr>
                <w:rFonts w:hint="eastAsia" w:ascii="黑体" w:hAnsi="黑体" w:eastAsia="黑体" w:cs="仿宋_GB2312"/>
                <w:snapToGrid w:val="0"/>
                <w:color w:val="000000"/>
                <w:sz w:val="32"/>
                <w:szCs w:val="32"/>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Align w:val="center"/>
          </w:tcPr>
          <w:p>
            <w:pPr>
              <w:spacing w:line="560" w:lineRule="exact"/>
              <w:jc w:val="center"/>
              <w:rPr>
                <w:rFonts w:ascii="仿宋_GB2312" w:hAnsi="仿宋" w:eastAsia="仿宋_GB2312" w:cs="仿宋_GB2312"/>
                <w:snapToGrid w:val="0"/>
                <w:color w:val="000000"/>
                <w:sz w:val="32"/>
                <w:szCs w:val="32"/>
              </w:rPr>
            </w:pPr>
            <w:r>
              <w:rPr>
                <w:rFonts w:hint="eastAsia" w:ascii="仿宋_GB2312" w:hAnsi="仿宋" w:eastAsia="仿宋_GB2312" w:cs="仿宋_GB2312"/>
                <w:snapToGrid w:val="0"/>
                <w:color w:val="000000"/>
                <w:sz w:val="32"/>
                <w:szCs w:val="32"/>
              </w:rPr>
              <w:t>1</w:t>
            </w:r>
          </w:p>
        </w:tc>
        <w:tc>
          <w:tcPr>
            <w:tcW w:w="941" w:type="dxa"/>
            <w:vAlign w:val="center"/>
          </w:tcPr>
          <w:p>
            <w:pPr>
              <w:spacing w:line="560" w:lineRule="exact"/>
              <w:jc w:val="center"/>
              <w:rPr>
                <w:rFonts w:ascii="仿宋_GB2312" w:hAnsi="仿宋" w:eastAsia="仿宋_GB2312" w:cs="仿宋_GB2312"/>
                <w:snapToGrid w:val="0"/>
                <w:sz w:val="32"/>
                <w:szCs w:val="32"/>
              </w:rPr>
            </w:pPr>
            <w:r>
              <w:rPr>
                <w:rFonts w:hint="eastAsia" w:ascii="仿宋_GB2312" w:hAnsi="仿宋" w:eastAsia="仿宋_GB2312" w:cs="仿宋_GB2312"/>
                <w:snapToGrid w:val="0"/>
                <w:sz w:val="32"/>
                <w:szCs w:val="32"/>
              </w:rPr>
              <w:t>初赛</w:t>
            </w:r>
          </w:p>
        </w:tc>
        <w:tc>
          <w:tcPr>
            <w:tcW w:w="1837" w:type="dxa"/>
            <w:vMerge w:val="restart"/>
            <w:vAlign w:val="center"/>
          </w:tcPr>
          <w:p>
            <w:pPr>
              <w:spacing w:line="560" w:lineRule="exact"/>
              <w:jc w:val="center"/>
              <w:rPr>
                <w:rFonts w:ascii="仿宋_GB2312" w:hAnsi="仿宋" w:eastAsia="仿宋_GB2312" w:cs="仿宋_GB2312"/>
                <w:snapToGrid w:val="0"/>
                <w:sz w:val="32"/>
                <w:szCs w:val="32"/>
              </w:rPr>
            </w:pPr>
            <w:r>
              <w:rPr>
                <w:rFonts w:hint="eastAsia" w:ascii="仿宋_GB2312" w:hAnsi="仿宋" w:eastAsia="仿宋_GB2312" w:cs="仿宋_GB2312"/>
                <w:snapToGrid w:val="0"/>
                <w:sz w:val="32"/>
                <w:szCs w:val="32"/>
              </w:rPr>
              <w:t>11月9日</w:t>
            </w:r>
          </w:p>
        </w:tc>
        <w:tc>
          <w:tcPr>
            <w:tcW w:w="4870" w:type="dxa"/>
            <w:vMerge w:val="restart"/>
          </w:tcPr>
          <w:p>
            <w:pPr>
              <w:autoSpaceDE w:val="0"/>
              <w:adjustRightInd w:val="0"/>
              <w:snapToGrid w:val="0"/>
              <w:spacing w:line="560" w:lineRule="exact"/>
              <w:jc w:val="left"/>
              <w:rPr>
                <w:rFonts w:ascii="仿宋_GB2312" w:hAnsi="仿宋" w:eastAsia="仿宋_GB2312" w:cs="仿宋_GB2312"/>
                <w:snapToGrid w:val="0"/>
                <w:sz w:val="32"/>
                <w:szCs w:val="32"/>
              </w:rPr>
            </w:pPr>
            <w:r>
              <w:rPr>
                <w:rFonts w:hint="eastAsia" w:ascii="仿宋_GB2312" w:hAnsi="仿宋" w:eastAsia="仿宋_GB2312" w:cs="仿宋"/>
                <w:sz w:val="32"/>
                <w:szCs w:val="32"/>
              </w:rPr>
              <w:t>中国南方电网广东电网有限责任公司清远天湖技能实训点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Align w:val="center"/>
          </w:tcPr>
          <w:p>
            <w:pPr>
              <w:spacing w:line="560" w:lineRule="exact"/>
              <w:jc w:val="center"/>
              <w:rPr>
                <w:rFonts w:ascii="仿宋_GB2312" w:hAnsi="仿宋" w:eastAsia="仿宋_GB2312" w:cs="仿宋_GB2312"/>
                <w:snapToGrid w:val="0"/>
                <w:color w:val="000000"/>
                <w:sz w:val="32"/>
                <w:szCs w:val="32"/>
              </w:rPr>
            </w:pPr>
            <w:r>
              <w:rPr>
                <w:rFonts w:hint="eastAsia" w:ascii="仿宋_GB2312" w:hAnsi="仿宋" w:eastAsia="仿宋_GB2312" w:cs="仿宋_GB2312"/>
                <w:snapToGrid w:val="0"/>
                <w:color w:val="000000"/>
                <w:sz w:val="32"/>
                <w:szCs w:val="32"/>
              </w:rPr>
              <w:t>2</w:t>
            </w:r>
          </w:p>
        </w:tc>
        <w:tc>
          <w:tcPr>
            <w:tcW w:w="941" w:type="dxa"/>
            <w:vAlign w:val="center"/>
          </w:tcPr>
          <w:p>
            <w:pPr>
              <w:spacing w:line="560" w:lineRule="exact"/>
              <w:jc w:val="center"/>
              <w:rPr>
                <w:rFonts w:ascii="仿宋_GB2312" w:hAnsi="仿宋" w:eastAsia="仿宋_GB2312" w:cs="仿宋_GB2312"/>
                <w:snapToGrid w:val="0"/>
                <w:sz w:val="32"/>
                <w:szCs w:val="32"/>
              </w:rPr>
            </w:pPr>
            <w:r>
              <w:rPr>
                <w:rFonts w:hint="eastAsia" w:ascii="仿宋_GB2312" w:hAnsi="仿宋" w:eastAsia="仿宋_GB2312" w:cs="仿宋_GB2312"/>
                <w:snapToGrid w:val="0"/>
                <w:sz w:val="32"/>
                <w:szCs w:val="32"/>
              </w:rPr>
              <w:t>决赛</w:t>
            </w:r>
          </w:p>
        </w:tc>
        <w:tc>
          <w:tcPr>
            <w:tcW w:w="1837" w:type="dxa"/>
            <w:vMerge w:val="continue"/>
            <w:vAlign w:val="center"/>
          </w:tcPr>
          <w:p>
            <w:pPr>
              <w:spacing w:line="560" w:lineRule="exact"/>
              <w:jc w:val="center"/>
              <w:rPr>
                <w:rFonts w:ascii="仿宋_GB2312" w:hAnsi="仿宋" w:eastAsia="仿宋_GB2312" w:cs="仿宋_GB2312"/>
                <w:snapToGrid w:val="0"/>
                <w:sz w:val="32"/>
                <w:szCs w:val="32"/>
              </w:rPr>
            </w:pPr>
          </w:p>
        </w:tc>
        <w:tc>
          <w:tcPr>
            <w:tcW w:w="4870" w:type="dxa"/>
            <w:vMerge w:val="continue"/>
          </w:tcPr>
          <w:p>
            <w:pPr>
              <w:spacing w:line="560" w:lineRule="exact"/>
              <w:rPr>
                <w:rFonts w:ascii="仿宋_GB2312" w:hAnsi="仿宋" w:eastAsia="仿宋_GB2312" w:cs="仿宋_GB2312"/>
                <w:snapToGrid w:val="0"/>
                <w:sz w:val="32"/>
                <w:szCs w:val="32"/>
              </w:rPr>
            </w:pPr>
          </w:p>
        </w:tc>
      </w:tr>
    </w:tbl>
    <w:p>
      <w:pPr>
        <w:spacing w:line="560" w:lineRule="exact"/>
        <w:ind w:firstLine="643" w:firstLineChars="200"/>
        <w:rPr>
          <w:rFonts w:ascii="仿宋_GB2312" w:eastAsia="仿宋_GB2312"/>
          <w:b/>
          <w:bCs/>
          <w:sz w:val="32"/>
          <w:szCs w:val="32"/>
        </w:rPr>
      </w:pPr>
      <w:r>
        <w:rPr>
          <w:rFonts w:ascii="仿宋_GB2312" w:eastAsia="仿宋_GB2312"/>
          <w:b/>
          <w:bCs/>
          <w:sz w:val="32"/>
          <w:szCs w:val="32"/>
        </w:rPr>
        <w:t>2.试题</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本次竞赛为个人赛，分为初赛和决赛。初赛是以笔试形式进行海选，按笔试成绩排名，前40名选手进入决赛。决赛是以实操方式，即现场按要求独立完成电工（三级）操作。进入决赛的选手最终排名按总成绩由高到低排序，总成绩=初赛理论知识分数*30%+决赛实操技能分数*70%</w:t>
      </w:r>
      <w:r>
        <w:rPr>
          <w:rFonts w:hint="eastAsia" w:ascii="仿宋_GB2312" w:eastAsia="仿宋_GB2312"/>
          <w:sz w:val="32"/>
          <w:szCs w:val="32"/>
          <w:lang w:eastAsia="zh-CN"/>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1）初赛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理论知识（</w:t>
      </w:r>
      <w:r>
        <w:rPr>
          <w:rFonts w:ascii="仿宋_GB2312" w:eastAsia="仿宋_GB2312"/>
          <w:sz w:val="32"/>
          <w:szCs w:val="32"/>
        </w:rPr>
        <w:t>100题，满分：100分）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占总成绩比：</w:t>
      </w:r>
      <w:r>
        <w:rPr>
          <w:rFonts w:ascii="仿宋_GB2312" w:eastAsia="仿宋_GB2312"/>
          <w:sz w:val="32"/>
          <w:szCs w:val="32"/>
        </w:rPr>
        <w:t>30%</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竞赛内容：理论知识以</w:t>
      </w:r>
      <w:r>
        <w:rPr>
          <w:rFonts w:ascii="仿宋_GB2312" w:eastAsia="仿宋_GB2312"/>
          <w:sz w:val="32"/>
          <w:szCs w:val="32"/>
        </w:rPr>
        <w:t>2018年</w:t>
      </w:r>
      <w:r>
        <w:rPr>
          <w:rFonts w:hint="eastAsia" w:ascii="仿宋_GB2312" w:eastAsia="仿宋_GB2312"/>
          <w:sz w:val="32"/>
          <w:szCs w:val="32"/>
        </w:rPr>
        <w:t>“电工”高级工国家职业标准（国家职业资格三级）为依据。考核内容包括职业道德、安全规范和电工专业基础、继电控制电路知识、自动控制电路知识、电子技术知识及交直流传动系统知识等专业知识。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考试题型：</w:t>
      </w:r>
      <w:r>
        <w:rPr>
          <w:rFonts w:ascii="仿宋_GB2312" w:eastAsia="仿宋_GB2312"/>
          <w:sz w:val="32"/>
          <w:szCs w:val="32"/>
        </w:rPr>
        <w:t>70题单选题 (每题 1分)，10 题多选题( 每题 1分)，20题判断题 (每题 1分)，满分100分。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考试时间：</w:t>
      </w:r>
      <w:r>
        <w:rPr>
          <w:rFonts w:ascii="仿宋_GB2312" w:eastAsia="仿宋_GB2312"/>
          <w:sz w:val="32"/>
          <w:szCs w:val="32"/>
        </w:rPr>
        <w:t>90分钟。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考试方式：闭卷考试（机考）。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注意事项：参赛选手不得夹带任何参考资料进入理论考场。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2）决赛</w:t>
      </w:r>
    </w:p>
    <w:p>
      <w:pPr>
        <w:spacing w:line="560" w:lineRule="exact"/>
        <w:ind w:firstLine="640" w:firstLineChars="200"/>
        <w:rPr>
          <w:rFonts w:ascii="仿宋_GB2312" w:eastAsia="仿宋_GB2312"/>
          <w:sz w:val="32"/>
          <w:szCs w:val="32"/>
        </w:rPr>
      </w:pPr>
      <w:r>
        <w:rPr>
          <w:rFonts w:hint="eastAsia" w:ascii="仿宋_GB2312" w:hAnsi="仿宋" w:eastAsia="仿宋_GB2312" w:cs="仿宋"/>
          <w:sz w:val="32"/>
          <w:szCs w:val="32"/>
        </w:rPr>
        <w:t>实操技能</w:t>
      </w:r>
      <w:r>
        <w:rPr>
          <w:rFonts w:hint="eastAsia" w:ascii="仿宋_GB2312" w:eastAsia="仿宋_GB2312"/>
          <w:sz w:val="32"/>
          <w:szCs w:val="32"/>
        </w:rPr>
        <w:t>（满分：</w:t>
      </w:r>
      <w:r>
        <w:rPr>
          <w:rFonts w:ascii="仿宋_GB2312" w:eastAsia="仿宋_GB2312"/>
          <w:sz w:val="32"/>
          <w:szCs w:val="32"/>
        </w:rPr>
        <w:t>100分）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占总成绩比：</w:t>
      </w:r>
      <w:r>
        <w:rPr>
          <w:rFonts w:ascii="仿宋_GB2312" w:eastAsia="仿宋_GB2312"/>
          <w:sz w:val="32"/>
          <w:szCs w:val="32"/>
        </w:rPr>
        <w:t>70%</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竞赛内容：</w:t>
      </w:r>
      <w:r>
        <w:rPr>
          <w:rFonts w:hint="eastAsia" w:ascii="仿宋_GB2312" w:hAnsi="仿宋" w:eastAsia="仿宋_GB2312" w:cs="仿宋"/>
          <w:sz w:val="32"/>
          <w:szCs w:val="32"/>
        </w:rPr>
        <w:t>实操技能</w:t>
      </w:r>
      <w:r>
        <w:rPr>
          <w:rFonts w:hint="eastAsia" w:ascii="仿宋_GB2312" w:eastAsia="仿宋_GB2312"/>
          <w:sz w:val="32"/>
          <w:szCs w:val="32"/>
        </w:rPr>
        <w:t>以</w:t>
      </w:r>
      <w:bookmarkStart w:id="1" w:name="_Hlk180140089"/>
      <w:r>
        <w:rPr>
          <w:rFonts w:ascii="仿宋_GB2312" w:eastAsia="仿宋_GB2312"/>
          <w:sz w:val="32"/>
          <w:szCs w:val="32"/>
        </w:rPr>
        <w:t>2018年</w:t>
      </w:r>
      <w:r>
        <w:rPr>
          <w:rFonts w:hint="eastAsia" w:ascii="仿宋_GB2312" w:eastAsia="仿宋_GB2312"/>
          <w:sz w:val="32"/>
          <w:szCs w:val="32"/>
        </w:rPr>
        <w:t>“电工”高级工国家职业标准（国家职业资格三级）为依据</w:t>
      </w:r>
      <w:bookmarkEnd w:id="1"/>
      <w:r>
        <w:rPr>
          <w:rFonts w:hint="eastAsia" w:ascii="仿宋_GB2312" w:eastAsia="仿宋_GB2312"/>
          <w:sz w:val="32"/>
          <w:szCs w:val="32"/>
        </w:rPr>
        <w:t>，以现场操作的方式进行，内容为按工作任务书的要求完成指定功能的可编程序控制系统的设计、安装与调试。本次竞赛统一采用三菱</w:t>
      </w:r>
      <w:r>
        <w:rPr>
          <w:rFonts w:ascii="仿宋_GB2312" w:eastAsia="仿宋_GB2312"/>
          <w:sz w:val="32"/>
          <w:szCs w:val="32"/>
        </w:rPr>
        <w:t>FX系列PLC控制系统。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竞赛时间：作业总时间为</w:t>
      </w:r>
      <w:r>
        <w:rPr>
          <w:rFonts w:ascii="仿宋_GB2312" w:eastAsia="仿宋_GB2312"/>
          <w:sz w:val="32"/>
          <w:szCs w:val="32"/>
        </w:rPr>
        <w:t>90分钟。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注意事项：比赛采取个人赛的形式，所有比赛内容由选手个人独立完成。笔试部分主要考核电气控制系统设计能力，要求选手根据提供的控制要求作图、完成原理图的设计；实操部分考核电气控制系统安装能力，要求选手根据自己的设计方案，完成低压电器元件的安装，程序设计与编程，并按要求进行调试，比赛过程中涉及选手个人和设备安全防护、</w:t>
      </w:r>
      <w:r>
        <w:rPr>
          <w:rFonts w:ascii="仿宋_GB2312" w:eastAsia="仿宋_GB2312"/>
          <w:sz w:val="32"/>
          <w:szCs w:val="32"/>
        </w:rPr>
        <w:t>6S等。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评分项目及分值比例：电工职业技能竞赛决赛成绩由画表、绘图、工具仪表的使用、安装布线、程序输入及调试和职业素养等</w:t>
      </w:r>
      <w:r>
        <w:rPr>
          <w:rFonts w:ascii="仿宋_GB2312" w:eastAsia="仿宋_GB2312"/>
          <w:sz w:val="32"/>
          <w:szCs w:val="32"/>
        </w:rPr>
        <w:t>5个评分项目，各评分项目分值所占比例所示：</w:t>
      </w:r>
    </w:p>
    <w:tbl>
      <w:tblPr>
        <w:tblStyle w:val="20"/>
        <w:tblW w:w="931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2"/>
        <w:gridCol w:w="1967"/>
        <w:gridCol w:w="5083"/>
        <w:gridCol w:w="13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atLeast"/>
          <w:jc w:val="center"/>
        </w:trPr>
        <w:tc>
          <w:tcPr>
            <w:tcW w:w="9310" w:type="dxa"/>
            <w:gridSpan w:val="4"/>
            <w:tcBorders>
              <w:top w:val="nil"/>
              <w:left w:val="nil"/>
              <w:bottom w:val="single" w:color="auto" w:sz="4" w:space="0"/>
              <w:right w:val="nil"/>
            </w:tcBorders>
            <w:vAlign w:val="center"/>
          </w:tcPr>
          <w:p>
            <w:pPr>
              <w:autoSpaceDE w:val="0"/>
              <w:autoSpaceDN w:val="0"/>
              <w:adjustRightInd w:val="0"/>
              <w:snapToGrid w:val="0"/>
              <w:spacing w:line="560" w:lineRule="exact"/>
              <w:jc w:val="center"/>
              <w:rPr>
                <w:rFonts w:ascii="仿宋_GB2312" w:hAnsi="仿宋" w:eastAsia="仿宋_GB2312" w:cs="仿宋_GB2312"/>
                <w:b/>
                <w:bCs/>
                <w:snapToGrid w:val="0"/>
                <w:color w:val="000000"/>
                <w:kern w:val="0"/>
                <w:sz w:val="32"/>
                <w:szCs w:val="32"/>
              </w:rPr>
            </w:pPr>
            <w:r>
              <w:rPr>
                <w:rFonts w:hint="eastAsia" w:ascii="仿宋_GB2312" w:hAnsi="仿宋" w:eastAsia="仿宋_GB2312" w:cs="仿宋_GB2312"/>
                <w:b/>
                <w:bCs/>
                <w:snapToGrid w:val="0"/>
                <w:color w:val="000000"/>
                <w:kern w:val="0"/>
                <w:sz w:val="32"/>
                <w:szCs w:val="32"/>
              </w:rPr>
              <w:t>比赛成绩构成与比例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560" w:lineRule="exact"/>
              <w:jc w:val="center"/>
              <w:rPr>
                <w:rFonts w:ascii="黑体" w:hAnsi="黑体" w:eastAsia="黑体" w:cs="仿宋_GB2312"/>
                <w:bCs/>
                <w:snapToGrid w:val="0"/>
                <w:color w:val="000000"/>
                <w:kern w:val="0"/>
                <w:sz w:val="32"/>
                <w:szCs w:val="32"/>
              </w:rPr>
            </w:pPr>
            <w:r>
              <w:rPr>
                <w:rFonts w:hint="eastAsia" w:ascii="黑体" w:hAnsi="黑体" w:eastAsia="黑体" w:cs="仿宋_GB2312"/>
                <w:bCs/>
                <w:snapToGrid w:val="0"/>
                <w:color w:val="000000"/>
                <w:kern w:val="0"/>
                <w:sz w:val="32"/>
                <w:szCs w:val="32"/>
              </w:rPr>
              <w:t>序号</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560" w:lineRule="exact"/>
              <w:jc w:val="center"/>
              <w:rPr>
                <w:rFonts w:ascii="黑体" w:hAnsi="黑体" w:eastAsia="黑体" w:cs="仿宋_GB2312"/>
                <w:bCs/>
                <w:snapToGrid w:val="0"/>
                <w:color w:val="000000"/>
                <w:kern w:val="0"/>
                <w:sz w:val="32"/>
                <w:szCs w:val="32"/>
              </w:rPr>
            </w:pPr>
            <w:r>
              <w:rPr>
                <w:rFonts w:hint="eastAsia" w:ascii="黑体" w:hAnsi="黑体" w:eastAsia="黑体" w:cs="仿宋_GB2312"/>
                <w:bCs/>
                <w:snapToGrid w:val="0"/>
                <w:color w:val="000000"/>
                <w:kern w:val="0"/>
                <w:sz w:val="32"/>
                <w:szCs w:val="32"/>
              </w:rPr>
              <w:t>名称</w:t>
            </w:r>
          </w:p>
        </w:tc>
        <w:tc>
          <w:tcPr>
            <w:tcW w:w="508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560" w:lineRule="exact"/>
              <w:jc w:val="center"/>
              <w:rPr>
                <w:rFonts w:ascii="黑体" w:hAnsi="黑体" w:eastAsia="黑体" w:cs="仿宋_GB2312"/>
                <w:bCs/>
                <w:snapToGrid w:val="0"/>
                <w:color w:val="000000"/>
                <w:kern w:val="0"/>
                <w:sz w:val="32"/>
                <w:szCs w:val="32"/>
              </w:rPr>
            </w:pPr>
            <w:r>
              <w:rPr>
                <w:rFonts w:hint="eastAsia" w:ascii="黑体" w:hAnsi="黑体" w:eastAsia="黑体" w:cs="仿宋_GB2312"/>
                <w:bCs/>
                <w:snapToGrid w:val="0"/>
                <w:color w:val="000000"/>
                <w:kern w:val="0"/>
                <w:sz w:val="32"/>
                <w:szCs w:val="32"/>
              </w:rPr>
              <w:t>主要内容</w:t>
            </w:r>
          </w:p>
        </w:tc>
        <w:tc>
          <w:tcPr>
            <w:tcW w:w="13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560" w:lineRule="exact"/>
              <w:jc w:val="center"/>
              <w:rPr>
                <w:rFonts w:ascii="黑体" w:hAnsi="黑体" w:eastAsia="黑体" w:cs="仿宋_GB2312"/>
                <w:bCs/>
                <w:snapToGrid w:val="0"/>
                <w:color w:val="000000"/>
                <w:kern w:val="0"/>
                <w:sz w:val="32"/>
                <w:szCs w:val="32"/>
              </w:rPr>
            </w:pPr>
            <w:r>
              <w:rPr>
                <w:rFonts w:hint="eastAsia" w:ascii="黑体" w:hAnsi="黑体" w:eastAsia="黑体" w:cs="仿宋_GB2312"/>
                <w:bCs/>
                <w:snapToGrid w:val="0"/>
                <w:color w:val="000000"/>
                <w:kern w:val="0"/>
                <w:sz w:val="32"/>
                <w:szCs w:val="32"/>
              </w:rPr>
              <w:t>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8" w:hRule="atLeast"/>
          <w:jc w:val="center"/>
        </w:trPr>
        <w:tc>
          <w:tcPr>
            <w:tcW w:w="952" w:type="dxa"/>
            <w:tcBorders>
              <w:top w:val="single" w:color="auto" w:sz="4" w:space="0"/>
            </w:tcBorders>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1</w:t>
            </w:r>
          </w:p>
        </w:tc>
        <w:tc>
          <w:tcPr>
            <w:tcW w:w="1967" w:type="dxa"/>
            <w:tcBorders>
              <w:top w:val="single" w:color="auto" w:sz="4" w:space="0"/>
            </w:tcBorders>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画表、绘图</w:t>
            </w:r>
          </w:p>
        </w:tc>
        <w:tc>
          <w:tcPr>
            <w:tcW w:w="5083" w:type="dxa"/>
            <w:tcBorders>
              <w:top w:val="single" w:color="auto" w:sz="4" w:space="0"/>
            </w:tcBorders>
            <w:vAlign w:val="center"/>
          </w:tcPr>
          <w:p>
            <w:pPr>
              <w:autoSpaceDE w:val="0"/>
              <w:autoSpaceDN w:val="0"/>
              <w:adjustRightInd w:val="0"/>
              <w:snapToGrid w:val="0"/>
              <w:spacing w:line="560" w:lineRule="exact"/>
              <w:jc w:val="left"/>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1.合理分配元件地址，规范填写分配表；</w:t>
            </w:r>
            <w:r>
              <w:rPr>
                <w:rFonts w:hint="eastAsia" w:ascii="仿宋_GB2312" w:hAnsi="仿宋" w:eastAsia="仿宋_GB2312" w:cs="仿宋_GB2312"/>
                <w:bCs/>
                <w:snapToGrid w:val="0"/>
                <w:color w:val="000000"/>
                <w:kern w:val="0"/>
                <w:sz w:val="32"/>
                <w:szCs w:val="32"/>
              </w:rPr>
              <w:br w:type="textWrapping"/>
            </w:r>
            <w:r>
              <w:rPr>
                <w:rFonts w:hint="eastAsia" w:ascii="仿宋_GB2312" w:hAnsi="仿宋" w:eastAsia="仿宋_GB2312" w:cs="仿宋_GB2312"/>
                <w:bCs/>
                <w:snapToGrid w:val="0"/>
                <w:color w:val="000000"/>
                <w:kern w:val="0"/>
                <w:sz w:val="32"/>
                <w:szCs w:val="32"/>
              </w:rPr>
              <w:t>2.正确规范绘制PLC控制电气原理图,理解PLC控制原理；</w:t>
            </w:r>
          </w:p>
        </w:tc>
        <w:tc>
          <w:tcPr>
            <w:tcW w:w="1308" w:type="dxa"/>
            <w:tcBorders>
              <w:top w:val="single" w:color="auto" w:sz="4" w:space="0"/>
            </w:tcBorders>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8" w:hRule="atLeast"/>
          <w:jc w:val="center"/>
        </w:trPr>
        <w:tc>
          <w:tcPr>
            <w:tcW w:w="952"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2</w:t>
            </w:r>
          </w:p>
        </w:tc>
        <w:tc>
          <w:tcPr>
            <w:tcW w:w="1967"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工具、仪表的使用</w:t>
            </w:r>
          </w:p>
        </w:tc>
        <w:tc>
          <w:tcPr>
            <w:tcW w:w="5083" w:type="dxa"/>
            <w:vAlign w:val="center"/>
          </w:tcPr>
          <w:p>
            <w:pPr>
              <w:autoSpaceDE w:val="0"/>
              <w:autoSpaceDN w:val="0"/>
              <w:adjustRightInd w:val="0"/>
              <w:snapToGrid w:val="0"/>
              <w:spacing w:line="560" w:lineRule="exact"/>
              <w:jc w:val="left"/>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1.正确使用工具；</w:t>
            </w:r>
            <w:r>
              <w:rPr>
                <w:rFonts w:hint="eastAsia" w:ascii="仿宋_GB2312" w:hAnsi="仿宋" w:eastAsia="仿宋_GB2312" w:cs="仿宋_GB2312"/>
                <w:bCs/>
                <w:snapToGrid w:val="0"/>
                <w:color w:val="000000"/>
                <w:kern w:val="0"/>
                <w:sz w:val="32"/>
                <w:szCs w:val="32"/>
              </w:rPr>
              <w:br w:type="textWrapping"/>
            </w:r>
            <w:r>
              <w:rPr>
                <w:rFonts w:hint="eastAsia" w:ascii="仿宋_GB2312" w:hAnsi="仿宋" w:eastAsia="仿宋_GB2312" w:cs="仿宋_GB2312"/>
                <w:bCs/>
                <w:snapToGrid w:val="0"/>
                <w:color w:val="000000"/>
                <w:kern w:val="0"/>
                <w:sz w:val="32"/>
                <w:szCs w:val="32"/>
              </w:rPr>
              <w:t>2.正确使用仪表。</w:t>
            </w:r>
          </w:p>
        </w:tc>
        <w:tc>
          <w:tcPr>
            <w:tcW w:w="1308"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3" w:hRule="atLeast"/>
          <w:jc w:val="center"/>
        </w:trPr>
        <w:tc>
          <w:tcPr>
            <w:tcW w:w="952"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3</w:t>
            </w:r>
          </w:p>
        </w:tc>
        <w:tc>
          <w:tcPr>
            <w:tcW w:w="1967"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安装布线</w:t>
            </w:r>
          </w:p>
        </w:tc>
        <w:tc>
          <w:tcPr>
            <w:tcW w:w="5083" w:type="dxa"/>
            <w:vAlign w:val="center"/>
          </w:tcPr>
          <w:p>
            <w:pPr>
              <w:autoSpaceDE w:val="0"/>
              <w:autoSpaceDN w:val="0"/>
              <w:adjustRightInd w:val="0"/>
              <w:snapToGrid w:val="0"/>
              <w:spacing w:line="560" w:lineRule="exact"/>
              <w:jc w:val="left"/>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1.合理布局，安装元器件；</w:t>
            </w:r>
          </w:p>
          <w:p>
            <w:pPr>
              <w:autoSpaceDE w:val="0"/>
              <w:autoSpaceDN w:val="0"/>
              <w:adjustRightInd w:val="0"/>
              <w:snapToGrid w:val="0"/>
              <w:spacing w:line="560" w:lineRule="exact"/>
              <w:jc w:val="left"/>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2.依据电气原理图，规范正确安装考核线路。</w:t>
            </w:r>
          </w:p>
        </w:tc>
        <w:tc>
          <w:tcPr>
            <w:tcW w:w="1308"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8" w:hRule="atLeast"/>
          <w:jc w:val="center"/>
        </w:trPr>
        <w:tc>
          <w:tcPr>
            <w:tcW w:w="952"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4</w:t>
            </w:r>
          </w:p>
        </w:tc>
        <w:tc>
          <w:tcPr>
            <w:tcW w:w="1967"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程序输入及调试</w:t>
            </w:r>
          </w:p>
        </w:tc>
        <w:tc>
          <w:tcPr>
            <w:tcW w:w="5083" w:type="dxa"/>
            <w:vAlign w:val="center"/>
          </w:tcPr>
          <w:p>
            <w:pPr>
              <w:autoSpaceDE w:val="0"/>
              <w:autoSpaceDN w:val="0"/>
              <w:adjustRightInd w:val="0"/>
              <w:snapToGrid w:val="0"/>
              <w:spacing w:line="560" w:lineRule="exact"/>
              <w:jc w:val="left"/>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1.熟练操作可编程序控制器。</w:t>
            </w:r>
            <w:r>
              <w:rPr>
                <w:rFonts w:hint="eastAsia" w:ascii="仿宋_GB2312" w:hAnsi="仿宋" w:eastAsia="仿宋_GB2312" w:cs="仿宋_GB2312"/>
                <w:bCs/>
                <w:snapToGrid w:val="0"/>
                <w:color w:val="000000"/>
                <w:kern w:val="0"/>
                <w:sz w:val="32"/>
                <w:szCs w:val="32"/>
              </w:rPr>
              <w:br w:type="textWrapping"/>
            </w:r>
            <w:r>
              <w:rPr>
                <w:rFonts w:hint="eastAsia" w:ascii="仿宋_GB2312" w:hAnsi="仿宋" w:eastAsia="仿宋_GB2312" w:cs="仿宋_GB2312"/>
                <w:bCs/>
                <w:snapToGrid w:val="0"/>
                <w:color w:val="000000"/>
                <w:kern w:val="0"/>
                <w:sz w:val="32"/>
                <w:szCs w:val="32"/>
              </w:rPr>
              <w:t>2.按照系统的控制要求进行操作调试,达到控制要求。</w:t>
            </w:r>
          </w:p>
        </w:tc>
        <w:tc>
          <w:tcPr>
            <w:tcW w:w="1308"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8" w:hRule="atLeast"/>
          <w:jc w:val="center"/>
        </w:trPr>
        <w:tc>
          <w:tcPr>
            <w:tcW w:w="952"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5</w:t>
            </w:r>
          </w:p>
        </w:tc>
        <w:tc>
          <w:tcPr>
            <w:tcW w:w="1967"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职业素养</w:t>
            </w:r>
          </w:p>
        </w:tc>
        <w:tc>
          <w:tcPr>
            <w:tcW w:w="5083" w:type="dxa"/>
            <w:vAlign w:val="center"/>
          </w:tcPr>
          <w:p>
            <w:pPr>
              <w:autoSpaceDE w:val="0"/>
              <w:autoSpaceDN w:val="0"/>
              <w:adjustRightInd w:val="0"/>
              <w:snapToGrid w:val="0"/>
              <w:spacing w:line="560" w:lineRule="exact"/>
              <w:jc w:val="left"/>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安全意识，操作规范，工具摆放，着装要求，工位整理等。</w:t>
            </w:r>
          </w:p>
        </w:tc>
        <w:tc>
          <w:tcPr>
            <w:tcW w:w="1308" w:type="dxa"/>
            <w:vAlign w:val="center"/>
          </w:tcPr>
          <w:p>
            <w:pPr>
              <w:autoSpaceDE w:val="0"/>
              <w:autoSpaceDN w:val="0"/>
              <w:adjustRightInd w:val="0"/>
              <w:snapToGrid w:val="0"/>
              <w:spacing w:line="560" w:lineRule="exact"/>
              <w:jc w:val="center"/>
              <w:rPr>
                <w:rFonts w:ascii="仿宋_GB2312" w:hAnsi="仿宋" w:eastAsia="仿宋_GB2312" w:cs="仿宋_GB2312"/>
                <w:bCs/>
                <w:snapToGrid w:val="0"/>
                <w:color w:val="000000"/>
                <w:kern w:val="0"/>
                <w:sz w:val="32"/>
                <w:szCs w:val="32"/>
              </w:rPr>
            </w:pPr>
            <w:r>
              <w:rPr>
                <w:rFonts w:hint="eastAsia" w:ascii="仿宋_GB2312" w:hAnsi="仿宋" w:eastAsia="仿宋_GB2312" w:cs="仿宋_GB2312"/>
                <w:bCs/>
                <w:snapToGrid w:val="0"/>
                <w:color w:val="000000"/>
                <w:kern w:val="0"/>
                <w:sz w:val="32"/>
                <w:szCs w:val="32"/>
              </w:rPr>
              <w:t>10%</w:t>
            </w:r>
          </w:p>
        </w:tc>
      </w:tr>
    </w:tbl>
    <w:p>
      <w:pPr>
        <w:spacing w:line="560" w:lineRule="exact"/>
        <w:ind w:firstLine="640" w:firstLineChars="200"/>
        <w:rPr>
          <w:rFonts w:ascii="楷体_GB2312" w:eastAsia="楷体_GB2312"/>
          <w:sz w:val="32"/>
          <w:szCs w:val="32"/>
        </w:rPr>
      </w:pPr>
      <w:r>
        <w:rPr>
          <w:rFonts w:hint="eastAsia" w:ascii="楷体_GB2312" w:eastAsia="楷体_GB2312"/>
          <w:sz w:val="32"/>
          <w:szCs w:val="32"/>
        </w:rPr>
        <w:t>（三）评判标准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1）参赛选手的成绩评定由大赛组委会的裁判组负责;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2）理论知识</w:t>
      </w:r>
      <w:r>
        <w:rPr>
          <w:rFonts w:hint="eastAsia" w:ascii="仿宋_GB2312" w:eastAsia="仿宋_GB2312"/>
          <w:sz w:val="32"/>
          <w:szCs w:val="32"/>
        </w:rPr>
        <w:t>部分</w:t>
      </w:r>
      <w:r>
        <w:rPr>
          <w:rFonts w:ascii="仿宋_GB2312" w:eastAsia="仿宋_GB2312"/>
          <w:sz w:val="32"/>
          <w:szCs w:val="32"/>
        </w:rPr>
        <w:t>由评分裁判员根据评分标准统一阅卷、评分与计分;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实操技能部分</w:t>
      </w:r>
      <w:r>
        <w:rPr>
          <w:rFonts w:ascii="仿宋_GB2312" w:eastAsia="仿宋_GB2312"/>
          <w:sz w:val="32"/>
          <w:szCs w:val="32"/>
        </w:rPr>
        <w:t>依据赛场记录，由现场裁判组集体评判成绩;</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4）本项目竞赛内容均依据国家职业标准所规定应知、应会等要求，采用理论知识</w:t>
      </w:r>
      <w:r>
        <w:rPr>
          <w:rFonts w:hint="eastAsia" w:ascii="仿宋_GB2312" w:eastAsia="仿宋_GB2312"/>
          <w:sz w:val="32"/>
          <w:szCs w:val="32"/>
        </w:rPr>
        <w:t>（机考）</w:t>
      </w:r>
      <w:r>
        <w:rPr>
          <w:rFonts w:ascii="仿宋_GB2312" w:eastAsia="仿宋_GB2312"/>
          <w:sz w:val="32"/>
          <w:szCs w:val="32"/>
        </w:rPr>
        <w:t>和现场实际操作的方式进行</w:t>
      </w:r>
      <w:r>
        <w:rPr>
          <w:rFonts w:hint="eastAsia" w:ascii="仿宋_GB2312" w:eastAsia="仿宋_GB2312"/>
          <w:sz w:val="32"/>
          <w:szCs w:val="32"/>
        </w:rPr>
        <w:t>实操技能</w:t>
      </w:r>
      <w:r>
        <w:rPr>
          <w:rFonts w:ascii="仿宋_GB2312" w:eastAsia="仿宋_GB2312"/>
          <w:sz w:val="32"/>
          <w:szCs w:val="32"/>
        </w:rPr>
        <w:t>竞赛，根据选手在规定的时间内完成工作任务的情况，参照电工高级工的国家职业标准进行评分</w:t>
      </w:r>
      <w:r>
        <w:rPr>
          <w:rFonts w:hint="eastAsia" w:ascii="仿宋_GB2312" w:eastAsia="仿宋_GB2312"/>
          <w:sz w:val="32"/>
          <w:szCs w:val="32"/>
        </w:rPr>
        <w:t>，</w:t>
      </w:r>
      <w:r>
        <w:rPr>
          <w:rFonts w:ascii="仿宋_GB2312" w:eastAsia="仿宋_GB2312"/>
          <w:sz w:val="32"/>
          <w:szCs w:val="32"/>
        </w:rPr>
        <w:t>竞赛总成绩</w:t>
      </w:r>
      <w:r>
        <w:rPr>
          <w:rFonts w:hint="eastAsia" w:ascii="仿宋_GB2312" w:eastAsia="仿宋_GB2312"/>
          <w:sz w:val="32"/>
          <w:szCs w:val="32"/>
        </w:rPr>
        <w:t>=初赛理论知识分数*30%+决赛</w:t>
      </w:r>
      <w:r>
        <w:rPr>
          <w:rFonts w:hint="eastAsia" w:ascii="仿宋_GB2312" w:hAnsi="仿宋" w:eastAsia="仿宋_GB2312" w:cs="仿宋"/>
          <w:sz w:val="32"/>
          <w:szCs w:val="32"/>
        </w:rPr>
        <w:t>实操技能</w:t>
      </w:r>
      <w:r>
        <w:rPr>
          <w:rFonts w:hint="eastAsia" w:ascii="仿宋_GB2312" w:hAnsi="仿宋" w:eastAsia="仿宋_GB2312" w:cs="仿宋"/>
          <w:sz w:val="32"/>
          <w:szCs w:val="32"/>
          <w:lang w:eastAsia="zh-CN"/>
        </w:rPr>
        <w:t>分数</w:t>
      </w:r>
      <w:r>
        <w:rPr>
          <w:rFonts w:hint="eastAsia" w:ascii="仿宋_GB2312" w:hAnsi="仿宋" w:eastAsia="仿宋_GB2312" w:cs="仿宋"/>
          <w:sz w:val="32"/>
          <w:szCs w:val="32"/>
        </w:rPr>
        <w:t>*70%</w:t>
      </w:r>
      <w:r>
        <w:rPr>
          <w:rFonts w:hint="eastAsia" w:ascii="仿宋_GB2312" w:eastAsia="仿宋_GB2312"/>
          <w:sz w:val="32"/>
          <w:szCs w:val="32"/>
        </w:rPr>
        <w:t>，按照总成绩由高到低排序确定选手排名，并设一等奖1名，二等奖2名，三等奖3名，优秀奖14名</w:t>
      </w:r>
      <w:r>
        <w:rPr>
          <w:rFonts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三、评分流程及考核细则</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（一）竞赛基本流程与规则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1）参赛选手按照工作人员指示进入比赛场地；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2）裁判确认参赛选手号码是否与比赛程序相符；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3）参赛选手1分钟准备，裁判计时，比赛开始；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4）参赛选手根据竞赛试题开始操作，裁判在比赛结束前30分钟、15分钟提醒选手比赛剩余时间；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5）参赛选手操作完毕后把作业表提交给裁判，裁判在作业表上标注选手的号码，并示意选手离场；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6）比赛时间到，参赛选手仍未完成操作，裁判要停止参赛选手比赛，收回作业表，并在作业表上标注选手的号码；</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7）参赛选手作业结束后，清洁、清理场地，按照裁判指示退场，由工作人员引导返回休息区；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8）裁判对参赛选手的操作进行评分，重新调整设备、整理场地，等待下一位参赛选手比赛；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9）比赛中由于设备故障问题导致比赛中断，裁判要停表，待设备调整好后补足剩余比赛时间。</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（二）选手参赛基本流程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1）参赛选手提前30分钟到达比赛现场检录，迟到超过30分钟的选手，不得入场进行比赛；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2）参赛选手自带工具：工作服、工作鞋</w:t>
      </w:r>
      <w:r>
        <w:rPr>
          <w:rFonts w:hint="eastAsia" w:ascii="仿宋_GB2312" w:eastAsia="仿宋_GB2312"/>
          <w:sz w:val="32"/>
          <w:szCs w:val="32"/>
        </w:rPr>
        <w:t>、</w:t>
      </w:r>
      <w:r>
        <w:rPr>
          <w:rFonts w:ascii="仿宋_GB2312" w:eastAsia="仿宋_GB2312"/>
          <w:sz w:val="32"/>
          <w:szCs w:val="32"/>
        </w:rPr>
        <w:t>书写工具等；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3）选手现场抽签确定工位号，进入赛场后，对号入座；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4）非竞赛人员严禁进入赛场。参赛选手不准在竞赛现场交谈、擅离工位，否则取消比赛资格。有问题可求助裁判；</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5）在比赛过程中，如遇设备故障可向裁判提出，经确认后由裁判决定是否更换设备或加时；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6）现场裁判宣布竞赛结束后，选手立即停止，不允许继续操作（延时选手由裁判单独提出要求），听裁判指令有序退场；裁判评分时，选手须返回工位进行结果演示；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7）若参赛选手欲提前结束比赛，应向裁判员举手示意，比赛终止时间由裁判员记录，参赛结束比赛后不得再进行任何操作，裁判根据选手结果演示当场评分，退场后不再返回；</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8）选手名次排列依据评分标准排定名次；成绩相等时，用时短者优。</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四、竞赛场地、设施设备安排</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（一）赛场规格要求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说明本项目场地总体面积</w:t>
      </w:r>
      <w:r>
        <w:rPr>
          <w:rFonts w:ascii="仿宋_GB2312" w:eastAsia="仿宋_GB2312"/>
          <w:sz w:val="32"/>
          <w:szCs w:val="32"/>
        </w:rPr>
        <w:t>322.4平方米（含总长度2600CM、总宽度1240CM），工位数量20个，每个工位的面积2平方米（含长度约240CM、宽度是1200CM），工位间隔80CM，以及比赛区域内操作区面积约96平方米和非操作区28.8平方米等的具体安排。</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（二）场地布局图</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提供规格（长度、宽度）清晰的布图，例如：</w:t>
      </w:r>
    </w:p>
    <w:p>
      <w:pPr>
        <w:rPr>
          <w:rFonts w:ascii="楷体_GB2312" w:eastAsia="楷体_GB2312"/>
          <w:sz w:val="32"/>
          <w:szCs w:val="32"/>
        </w:rPr>
      </w:pPr>
      <w:r>
        <w:rPr>
          <w:rFonts w:hint="eastAsia" w:ascii="楷体_GB2312" w:eastAsia="楷体_GB2312"/>
          <w:sz w:val="32"/>
          <w:szCs w:val="32"/>
        </w:rPr>
        <w:drawing>
          <wp:inline distT="0" distB="0" distL="114300" distR="114300">
            <wp:extent cx="5823585" cy="6293485"/>
            <wp:effectExtent l="0" t="0" r="5715" b="12065"/>
            <wp:docPr id="5" name="图片 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1"/>
                    <pic:cNvPicPr>
                      <a:picLocks noChangeAspect="1"/>
                    </pic:cNvPicPr>
                  </pic:nvPicPr>
                  <pic:blipFill>
                    <a:blip r:embed="rId5"/>
                    <a:stretch>
                      <a:fillRect/>
                    </a:stretch>
                  </pic:blipFill>
                  <pic:spPr>
                    <a:xfrm>
                      <a:off x="0" y="0"/>
                      <a:ext cx="5823585" cy="6293485"/>
                    </a:xfrm>
                    <a:prstGeom prst="rect">
                      <a:avLst/>
                    </a:prstGeom>
                  </pic:spPr>
                </pic:pic>
              </a:graphicData>
            </a:graphic>
          </wp:inline>
        </w:drawing>
      </w:r>
    </w:p>
    <w:p>
      <w:pPr>
        <w:widowControl/>
        <w:jc w:val="left"/>
        <w:rPr>
          <w:rFonts w:ascii="楷体_GB2312" w:eastAsia="楷体_GB2312"/>
          <w:sz w:val="32"/>
          <w:szCs w:val="32"/>
        </w:rPr>
      </w:pPr>
      <w:r>
        <w:rPr>
          <w:rFonts w:ascii="楷体_GB2312" w:eastAsia="楷体_GB2312"/>
          <w:sz w:val="32"/>
          <w:szCs w:val="32"/>
        </w:rPr>
        <w:br w:type="page"/>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（三）基础设施清单</w:t>
      </w:r>
    </w:p>
    <w:tbl>
      <w:tblPr>
        <w:tblStyle w:val="20"/>
        <w:tblW w:w="90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18"/>
        <w:gridCol w:w="2277"/>
        <w:gridCol w:w="3800"/>
        <w:gridCol w:w="1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2" w:hRule="atLeast"/>
        </w:trPr>
        <w:tc>
          <w:tcPr>
            <w:tcW w:w="9039" w:type="dxa"/>
            <w:gridSpan w:val="4"/>
            <w:tcBorders>
              <w:top w:val="nil"/>
              <w:left w:val="nil"/>
              <w:bottom w:val="single" w:color="auto" w:sz="4" w:space="0"/>
              <w:right w:val="nil"/>
            </w:tcBorders>
            <w:vAlign w:val="center"/>
          </w:tcPr>
          <w:p>
            <w:pPr>
              <w:adjustRightInd w:val="0"/>
              <w:snapToGrid w:val="0"/>
              <w:spacing w:line="560" w:lineRule="exact"/>
              <w:jc w:val="center"/>
              <w:rPr>
                <w:rFonts w:ascii="方正小标宋_GBK" w:hAnsi="仿宋" w:eastAsia="方正小标宋_GBK" w:cs="仿宋_GB2312"/>
                <w:sz w:val="32"/>
                <w:szCs w:val="32"/>
              </w:rPr>
            </w:pPr>
            <w:r>
              <w:rPr>
                <w:rFonts w:hint="eastAsia" w:ascii="方正小标宋_GBK" w:hAnsi="仿宋" w:eastAsia="方正小标宋_GBK" w:cs="仿宋_GB2312"/>
                <w:sz w:val="32"/>
                <w:szCs w:val="32"/>
              </w:rPr>
              <w:t>电工职业技能竞赛平台配置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5" w:hRule="atLeast"/>
        </w:trPr>
        <w:tc>
          <w:tcPr>
            <w:tcW w:w="9039"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模块及其主要部件、零件、器件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9" w:hRule="atLeast"/>
        </w:trPr>
        <w:tc>
          <w:tcPr>
            <w:tcW w:w="1718" w:type="dxa"/>
            <w:tcBorders>
              <w:top w:val="single" w:color="auto" w:sz="4" w:space="0"/>
            </w:tcBorders>
            <w:vAlign w:val="center"/>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模块名称</w:t>
            </w:r>
          </w:p>
        </w:tc>
        <w:tc>
          <w:tcPr>
            <w:tcW w:w="2277" w:type="dxa"/>
            <w:tcBorders>
              <w:top w:val="single" w:color="auto" w:sz="4" w:space="0"/>
              <w:right w:val="single" w:color="auto" w:sz="4" w:space="0"/>
            </w:tcBorders>
            <w:vAlign w:val="center"/>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部件名称</w:t>
            </w:r>
          </w:p>
        </w:tc>
        <w:tc>
          <w:tcPr>
            <w:tcW w:w="3800" w:type="dxa"/>
            <w:tcBorders>
              <w:top w:val="single" w:color="auto" w:sz="4" w:space="0"/>
              <w:left w:val="single" w:color="auto" w:sz="4" w:space="0"/>
            </w:tcBorders>
            <w:vAlign w:val="center"/>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规格、型号</w:t>
            </w:r>
          </w:p>
        </w:tc>
        <w:tc>
          <w:tcPr>
            <w:tcW w:w="1244" w:type="dxa"/>
            <w:tcBorders>
              <w:top w:val="single" w:color="auto" w:sz="4" w:space="0"/>
            </w:tcBorders>
            <w:vAlign w:val="center"/>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718"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工作台</w:t>
            </w:r>
          </w:p>
        </w:tc>
        <w:tc>
          <w:tcPr>
            <w:tcW w:w="2277" w:type="dxa"/>
            <w:tcBorders>
              <w:righ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实训台</w:t>
            </w:r>
          </w:p>
        </w:tc>
        <w:tc>
          <w:tcPr>
            <w:tcW w:w="3800" w:type="dxa"/>
            <w:tcBorders>
              <w:lef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1400×550×750 mm</w:t>
            </w:r>
          </w:p>
        </w:tc>
        <w:tc>
          <w:tcPr>
            <w:tcW w:w="1244"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1张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718"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sz w:val="32"/>
                <w:szCs w:val="32"/>
                <w:lang w:bidi="ar"/>
              </w:rPr>
            </w:pPr>
            <w:r>
              <w:rPr>
                <w:rFonts w:hint="eastAsia" w:ascii="仿宋_GB2312" w:hAnsi="仿宋" w:eastAsia="仿宋_GB2312" w:cs="仿宋_GB2312"/>
                <w:snapToGrid w:val="0"/>
                <w:color w:val="000000"/>
                <w:kern w:val="0"/>
                <w:sz w:val="32"/>
                <w:szCs w:val="32"/>
              </w:rPr>
              <w:t>PLC模块</w:t>
            </w:r>
          </w:p>
        </w:tc>
        <w:tc>
          <w:tcPr>
            <w:tcW w:w="2277" w:type="dxa"/>
            <w:tcBorders>
              <w:righ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三菱PLC</w:t>
            </w:r>
          </w:p>
        </w:tc>
        <w:tc>
          <w:tcPr>
            <w:tcW w:w="3800" w:type="dxa"/>
            <w:tcBorders>
              <w:lef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FX3U-32MT</w:t>
            </w:r>
          </w:p>
        </w:tc>
        <w:tc>
          <w:tcPr>
            <w:tcW w:w="1244"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1套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718"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sz w:val="32"/>
                <w:szCs w:val="32"/>
                <w:lang w:bidi="ar"/>
              </w:rPr>
            </w:pPr>
            <w:r>
              <w:rPr>
                <w:rFonts w:hint="eastAsia" w:ascii="仿宋_GB2312" w:hAnsi="仿宋" w:eastAsia="仿宋_GB2312" w:cs="仿宋_GB2312"/>
                <w:snapToGrid w:val="0"/>
                <w:color w:val="000000"/>
                <w:kern w:val="0"/>
                <w:sz w:val="32"/>
                <w:szCs w:val="32"/>
              </w:rPr>
              <w:t>电源模块</w:t>
            </w:r>
          </w:p>
        </w:tc>
        <w:tc>
          <w:tcPr>
            <w:tcW w:w="2277" w:type="dxa"/>
            <w:tcBorders>
              <w:righ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380V/220V电源</w:t>
            </w:r>
          </w:p>
        </w:tc>
        <w:tc>
          <w:tcPr>
            <w:tcW w:w="3800" w:type="dxa"/>
            <w:tcBorders>
              <w:lef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三相电源总开关（带漏电和短路保护）1个，熔断器3只，单相电源插座2个</w:t>
            </w:r>
          </w:p>
        </w:tc>
        <w:tc>
          <w:tcPr>
            <w:tcW w:w="1244"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1套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718"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sz w:val="32"/>
                <w:szCs w:val="32"/>
                <w:lang w:bidi="ar"/>
              </w:rPr>
            </w:pPr>
            <w:r>
              <w:rPr>
                <w:rFonts w:hint="eastAsia" w:ascii="仿宋_GB2312" w:hAnsi="仿宋" w:eastAsia="仿宋_GB2312" w:cs="仿宋_GB2312"/>
                <w:snapToGrid w:val="0"/>
                <w:color w:val="000000"/>
                <w:kern w:val="0"/>
                <w:sz w:val="32"/>
                <w:szCs w:val="32"/>
              </w:rPr>
              <w:t>电路板模块</w:t>
            </w:r>
          </w:p>
        </w:tc>
        <w:tc>
          <w:tcPr>
            <w:tcW w:w="2277" w:type="dxa"/>
            <w:tcBorders>
              <w:righ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通用电气接线板</w:t>
            </w:r>
          </w:p>
        </w:tc>
        <w:tc>
          <w:tcPr>
            <w:tcW w:w="3800" w:type="dxa"/>
            <w:tcBorders>
              <w:lef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按钮3个，交流接触器3个，热继电器2个、接线端子排等</w:t>
            </w:r>
          </w:p>
        </w:tc>
        <w:tc>
          <w:tcPr>
            <w:tcW w:w="1244"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1套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718"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电动机模块</w:t>
            </w:r>
          </w:p>
        </w:tc>
        <w:tc>
          <w:tcPr>
            <w:tcW w:w="2277" w:type="dxa"/>
            <w:tcBorders>
              <w:righ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三相电机组</w:t>
            </w:r>
          </w:p>
        </w:tc>
        <w:tc>
          <w:tcPr>
            <w:tcW w:w="3800" w:type="dxa"/>
            <w:tcBorders>
              <w:lef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三相电机1台；</w:t>
            </w:r>
          </w:p>
        </w:tc>
        <w:tc>
          <w:tcPr>
            <w:tcW w:w="1244"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1组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718"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导线</w:t>
            </w:r>
          </w:p>
        </w:tc>
        <w:tc>
          <w:tcPr>
            <w:tcW w:w="2277" w:type="dxa"/>
            <w:tcBorders>
              <w:righ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软电线</w:t>
            </w:r>
          </w:p>
        </w:tc>
        <w:tc>
          <w:tcPr>
            <w:tcW w:w="3800" w:type="dxa"/>
            <w:tcBorders>
              <w:lef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w:t>
            </w:r>
          </w:p>
        </w:tc>
        <w:tc>
          <w:tcPr>
            <w:tcW w:w="1244"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1套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718"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通讯线缆</w:t>
            </w:r>
          </w:p>
        </w:tc>
        <w:tc>
          <w:tcPr>
            <w:tcW w:w="2277" w:type="dxa"/>
            <w:tcBorders>
              <w:righ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PLC编程线</w:t>
            </w:r>
          </w:p>
        </w:tc>
        <w:tc>
          <w:tcPr>
            <w:tcW w:w="3800" w:type="dxa"/>
            <w:tcBorders>
              <w:lef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三菱SC-09</w:t>
            </w:r>
          </w:p>
        </w:tc>
        <w:tc>
          <w:tcPr>
            <w:tcW w:w="1244"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1套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718"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PC通讯软件</w:t>
            </w:r>
          </w:p>
        </w:tc>
        <w:tc>
          <w:tcPr>
            <w:tcW w:w="2277" w:type="dxa"/>
            <w:tcBorders>
              <w:righ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PLC编程软件</w:t>
            </w:r>
          </w:p>
        </w:tc>
        <w:tc>
          <w:tcPr>
            <w:tcW w:w="3800" w:type="dxa"/>
            <w:tcBorders>
              <w:lef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三菱GX Works 2</w:t>
            </w:r>
          </w:p>
        </w:tc>
        <w:tc>
          <w:tcPr>
            <w:tcW w:w="1244"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1套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718"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编程计算机</w:t>
            </w:r>
          </w:p>
        </w:tc>
        <w:tc>
          <w:tcPr>
            <w:tcW w:w="2277" w:type="dxa"/>
            <w:tcBorders>
              <w:righ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w:t>
            </w:r>
          </w:p>
        </w:tc>
        <w:tc>
          <w:tcPr>
            <w:tcW w:w="3800" w:type="dxa"/>
            <w:tcBorders>
              <w:left w:val="single" w:color="auto" w:sz="4" w:space="0"/>
            </w:tcBorders>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w:t>
            </w:r>
          </w:p>
        </w:tc>
        <w:tc>
          <w:tcPr>
            <w:tcW w:w="1244" w:type="dxa"/>
            <w:vAlign w:val="center"/>
          </w:tcPr>
          <w:p>
            <w:pPr>
              <w:kinsoku w:val="0"/>
              <w:autoSpaceDE w:val="0"/>
              <w:adjustRightInd w:val="0"/>
              <w:snapToGrid w:val="0"/>
              <w:spacing w:line="560" w:lineRule="exact"/>
              <w:jc w:val="center"/>
              <w:textAlignment w:val="baseline"/>
              <w:rPr>
                <w:rFonts w:ascii="仿宋_GB2312" w:hAnsi="仿宋" w:eastAsia="仿宋_GB2312" w:cs="仿宋_GB2312"/>
                <w:snapToGrid w:val="0"/>
                <w:color w:val="000000"/>
                <w:kern w:val="0"/>
                <w:sz w:val="32"/>
                <w:szCs w:val="32"/>
              </w:rPr>
            </w:pPr>
            <w:r>
              <w:rPr>
                <w:rFonts w:hint="eastAsia" w:ascii="仿宋_GB2312" w:hAnsi="仿宋" w:eastAsia="仿宋_GB2312" w:cs="仿宋_GB2312"/>
                <w:snapToGrid w:val="0"/>
                <w:color w:val="000000"/>
                <w:kern w:val="0"/>
                <w:sz w:val="32"/>
                <w:szCs w:val="32"/>
              </w:rPr>
              <w:t>1套</w:t>
            </w:r>
          </w:p>
        </w:tc>
      </w:tr>
    </w:tbl>
    <w:p>
      <w:pPr>
        <w:spacing w:line="560" w:lineRule="exact"/>
        <w:ind w:firstLine="640" w:firstLineChars="200"/>
        <w:rPr>
          <w:rFonts w:ascii="黑体" w:hAnsi="黑体" w:eastAsia="黑体"/>
          <w:sz w:val="32"/>
          <w:szCs w:val="32"/>
        </w:rPr>
      </w:pPr>
      <w:r>
        <w:rPr>
          <w:rFonts w:hint="eastAsia" w:ascii="黑体" w:hAnsi="黑体" w:eastAsia="黑体"/>
          <w:sz w:val="32"/>
          <w:szCs w:val="32"/>
        </w:rPr>
        <w:t>五、工具材料安排及清单</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（一）选手自备：穿工作服、工作鞋、</w:t>
      </w:r>
      <w:r>
        <w:rPr>
          <w:rFonts w:ascii="楷体_GB2312" w:eastAsia="楷体_GB2312"/>
          <w:sz w:val="32"/>
          <w:szCs w:val="32"/>
        </w:rPr>
        <w:t>书写工具</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（二）电工项目选手自带工具推荐清单表</w:t>
      </w:r>
    </w:p>
    <w:tbl>
      <w:tblPr>
        <w:tblStyle w:val="20"/>
        <w:tblW w:w="86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2587"/>
        <w:gridCol w:w="2737"/>
        <w:gridCol w:w="23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9" w:hRule="atLeast"/>
          <w:jc w:val="center"/>
        </w:trPr>
        <w:tc>
          <w:tcPr>
            <w:tcW w:w="1003" w:type="dxa"/>
            <w:tcBorders>
              <w:top w:val="single" w:color="000000" w:sz="2" w:space="0"/>
              <w:bottom w:val="single" w:color="000000" w:sz="2" w:space="0"/>
            </w:tcBorders>
          </w:tcPr>
          <w:p>
            <w:pPr>
              <w:adjustRightInd w:val="0"/>
              <w:snapToGrid w:val="0"/>
              <w:spacing w:line="560" w:lineRule="exact"/>
              <w:jc w:val="center"/>
              <w:rPr>
                <w:rFonts w:ascii="黑体" w:hAnsi="黑体" w:eastAsia="黑体" w:cs="仿宋_GB2312"/>
                <w:sz w:val="32"/>
                <w:szCs w:val="32"/>
              </w:rPr>
            </w:pPr>
            <w:bookmarkStart w:id="2" w:name="_Hlk179378708"/>
            <w:r>
              <w:rPr>
                <w:rFonts w:hint="eastAsia" w:ascii="黑体" w:hAnsi="黑体" w:eastAsia="黑体" w:cs="仿宋_GB2312"/>
                <w:sz w:val="32"/>
                <w:szCs w:val="32"/>
              </w:rPr>
              <w:t>序号</w:t>
            </w:r>
          </w:p>
        </w:tc>
        <w:tc>
          <w:tcPr>
            <w:tcW w:w="2587" w:type="dxa"/>
            <w:tcBorders>
              <w:top w:val="single" w:color="000000" w:sz="2" w:space="0"/>
              <w:bottom w:val="single" w:color="000000" w:sz="2" w:space="0"/>
            </w:tcBorders>
          </w:tcPr>
          <w:p>
            <w:pPr>
              <w:adjustRightInd w:val="0"/>
              <w:snapToGrid w:val="0"/>
              <w:spacing w:line="560" w:lineRule="exact"/>
              <w:jc w:val="center"/>
              <w:rPr>
                <w:rFonts w:ascii="黑体" w:hAnsi="黑体" w:eastAsia="黑体" w:cs="仿宋_GB2312"/>
                <w:sz w:val="32"/>
                <w:szCs w:val="32"/>
              </w:rPr>
            </w:pPr>
            <w:r>
              <w:rPr>
                <w:rFonts w:hint="eastAsia" w:ascii="黑体" w:hAnsi="黑体" w:eastAsia="黑体" w:cs="仿宋_GB2312"/>
                <w:sz w:val="32"/>
                <w:szCs w:val="32"/>
              </w:rPr>
              <w:t>名称</w:t>
            </w:r>
          </w:p>
        </w:tc>
        <w:tc>
          <w:tcPr>
            <w:tcW w:w="2737" w:type="dxa"/>
            <w:tcBorders>
              <w:top w:val="single" w:color="000000" w:sz="2" w:space="0"/>
              <w:bottom w:val="single" w:color="000000" w:sz="2" w:space="0"/>
            </w:tcBorders>
          </w:tcPr>
          <w:p>
            <w:pPr>
              <w:adjustRightInd w:val="0"/>
              <w:snapToGrid w:val="0"/>
              <w:spacing w:line="560" w:lineRule="exact"/>
              <w:jc w:val="center"/>
              <w:rPr>
                <w:rFonts w:ascii="黑体" w:hAnsi="黑体" w:eastAsia="黑体" w:cs="仿宋_GB2312"/>
                <w:sz w:val="32"/>
                <w:szCs w:val="32"/>
              </w:rPr>
            </w:pPr>
            <w:r>
              <w:rPr>
                <w:rFonts w:hint="eastAsia" w:ascii="黑体" w:hAnsi="黑体" w:eastAsia="黑体" w:cs="仿宋_GB2312"/>
                <w:sz w:val="32"/>
                <w:szCs w:val="32"/>
              </w:rPr>
              <w:t>数量</w:t>
            </w:r>
          </w:p>
        </w:tc>
        <w:tc>
          <w:tcPr>
            <w:tcW w:w="2312" w:type="dxa"/>
            <w:tcBorders>
              <w:top w:val="single" w:color="000000" w:sz="2" w:space="0"/>
              <w:bottom w:val="single" w:color="000000" w:sz="2" w:space="0"/>
            </w:tcBorders>
          </w:tcPr>
          <w:p>
            <w:pPr>
              <w:adjustRightInd w:val="0"/>
              <w:snapToGrid w:val="0"/>
              <w:spacing w:line="560" w:lineRule="exact"/>
              <w:jc w:val="center"/>
              <w:rPr>
                <w:rFonts w:ascii="黑体" w:hAnsi="黑体" w:eastAsia="黑体" w:cs="仿宋_GB2312"/>
                <w:sz w:val="32"/>
                <w:szCs w:val="32"/>
              </w:rPr>
            </w:pPr>
            <w:r>
              <w:rPr>
                <w:rFonts w:hint="eastAsia" w:ascii="黑体" w:hAnsi="黑体" w:eastAsia="黑体" w:cs="仿宋_GB2312"/>
                <w:sz w:val="32"/>
                <w:szCs w:val="32"/>
              </w:rPr>
              <w:t>技术规格</w:t>
            </w:r>
          </w:p>
        </w:tc>
      </w:tr>
      <w:bookmarkEnd w:id="2"/>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03"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1</w:t>
            </w:r>
          </w:p>
        </w:tc>
        <w:tc>
          <w:tcPr>
            <w:tcW w:w="2587"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电工用螺丝刀</w:t>
            </w:r>
          </w:p>
        </w:tc>
        <w:tc>
          <w:tcPr>
            <w:tcW w:w="2737"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1套/选手</w:t>
            </w:r>
          </w:p>
        </w:tc>
        <w:tc>
          <w:tcPr>
            <w:tcW w:w="2312"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一、十字型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jc w:val="center"/>
        </w:trPr>
        <w:tc>
          <w:tcPr>
            <w:tcW w:w="1003"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2</w:t>
            </w:r>
          </w:p>
        </w:tc>
        <w:tc>
          <w:tcPr>
            <w:tcW w:w="2587"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万用表</w:t>
            </w:r>
          </w:p>
        </w:tc>
        <w:tc>
          <w:tcPr>
            <w:tcW w:w="2737"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1个/选手</w:t>
            </w:r>
          </w:p>
        </w:tc>
        <w:tc>
          <w:tcPr>
            <w:tcW w:w="2312"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数字/指针式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1003"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3</w:t>
            </w:r>
          </w:p>
        </w:tc>
        <w:tc>
          <w:tcPr>
            <w:tcW w:w="2587"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剥线钳</w:t>
            </w:r>
          </w:p>
        </w:tc>
        <w:tc>
          <w:tcPr>
            <w:tcW w:w="2737"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1个/选手</w:t>
            </w:r>
          </w:p>
        </w:tc>
        <w:tc>
          <w:tcPr>
            <w:tcW w:w="2312"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0.6--1.5MM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1003"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4</w:t>
            </w:r>
          </w:p>
        </w:tc>
        <w:tc>
          <w:tcPr>
            <w:tcW w:w="2587"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管型端子压线钳</w:t>
            </w:r>
          </w:p>
        </w:tc>
        <w:tc>
          <w:tcPr>
            <w:tcW w:w="2737"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1个/选手</w:t>
            </w:r>
          </w:p>
        </w:tc>
        <w:tc>
          <w:tcPr>
            <w:tcW w:w="2312"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0.6--1.5MM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1003"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5</w:t>
            </w:r>
          </w:p>
        </w:tc>
        <w:tc>
          <w:tcPr>
            <w:tcW w:w="2587"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电工工具箱</w:t>
            </w:r>
          </w:p>
        </w:tc>
        <w:tc>
          <w:tcPr>
            <w:tcW w:w="2737"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1套/选手</w:t>
            </w:r>
          </w:p>
        </w:tc>
        <w:tc>
          <w:tcPr>
            <w:tcW w:w="2312" w:type="dxa"/>
            <w:tcBorders>
              <w:top w:val="single" w:color="000000" w:sz="2" w:space="0"/>
              <w:bottom w:val="single" w:color="000000" w:sz="2" w:space="0"/>
            </w:tcBorders>
          </w:tcPr>
          <w:p>
            <w:pPr>
              <w:adjustRightInd w:val="0"/>
              <w:snapToGrid w:val="0"/>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选手自选</w:t>
            </w:r>
          </w:p>
        </w:tc>
      </w:tr>
    </w:tbl>
    <w:p>
      <w:pPr>
        <w:widowControl/>
        <w:ind w:firstLine="640" w:firstLineChars="200"/>
        <w:jc w:val="left"/>
        <w:rPr>
          <w:rFonts w:ascii="仿宋_GB2312" w:eastAsia="仿宋_GB2312"/>
          <w:sz w:val="32"/>
          <w:szCs w:val="32"/>
        </w:rPr>
      </w:pPr>
      <w:r>
        <w:rPr>
          <w:rFonts w:hint="eastAsia" w:ascii="仿宋_GB2312" w:eastAsia="仿宋_GB2312"/>
          <w:sz w:val="32"/>
          <w:szCs w:val="32"/>
        </w:rPr>
        <w:t>注：禁止选手携带电动工具进入赛场。</w:t>
      </w:r>
    </w:p>
    <w:p>
      <w:pPr>
        <w:widowControl/>
        <w:ind w:firstLine="640" w:firstLineChars="200"/>
        <w:jc w:val="left"/>
        <w:rPr>
          <w:rFonts w:ascii="黑体" w:hAnsi="黑体" w:eastAsia="黑体"/>
          <w:sz w:val="32"/>
          <w:szCs w:val="32"/>
        </w:rPr>
      </w:pPr>
      <w:r>
        <w:rPr>
          <w:rFonts w:hint="eastAsia" w:ascii="黑体" w:hAnsi="黑体" w:eastAsia="黑体"/>
          <w:sz w:val="32"/>
          <w:szCs w:val="32"/>
        </w:rPr>
        <w:t>六、项目特殊说明</w:t>
      </w:r>
    </w:p>
    <w:p>
      <w:pPr>
        <w:widowControl/>
        <w:ind w:firstLine="640" w:firstLineChars="200"/>
        <w:jc w:val="left"/>
        <w:rPr>
          <w:rFonts w:ascii="仿宋_GB2312" w:eastAsia="仿宋_GB2312"/>
          <w:sz w:val="32"/>
          <w:szCs w:val="32"/>
        </w:rPr>
      </w:pPr>
      <w:r>
        <w:rPr>
          <w:rFonts w:hint="eastAsia" w:ascii="仿宋_GB2312" w:eastAsia="仿宋_GB2312"/>
          <w:sz w:val="32"/>
          <w:szCs w:val="32"/>
        </w:rPr>
        <w:t>（1）各类赛务人员必须统一佩戴由竞赛组委会签发的相关证件，着装整齐;</w:t>
      </w:r>
    </w:p>
    <w:p>
      <w:pPr>
        <w:widowControl/>
        <w:ind w:firstLine="640" w:firstLineChars="200"/>
        <w:jc w:val="left"/>
        <w:rPr>
          <w:rFonts w:ascii="仿宋_GB2312" w:eastAsia="仿宋_GB2312"/>
          <w:sz w:val="32"/>
          <w:szCs w:val="32"/>
        </w:rPr>
      </w:pPr>
      <w:r>
        <w:rPr>
          <w:rFonts w:hint="eastAsia" w:ascii="仿宋_GB2312" w:eastAsia="仿宋_GB2312"/>
          <w:sz w:val="32"/>
          <w:szCs w:val="32"/>
        </w:rPr>
        <w:t>（2）各赛场除现场评委、安全巡视和赛场配备的工作人员以外，其他人员未经允许不得进入赛场;</w:t>
      </w:r>
    </w:p>
    <w:p>
      <w:pPr>
        <w:widowControl/>
        <w:ind w:firstLine="640" w:firstLineChars="200"/>
        <w:jc w:val="left"/>
        <w:rPr>
          <w:rFonts w:ascii="仿宋_GB2312" w:eastAsia="仿宋_GB2312"/>
          <w:sz w:val="32"/>
          <w:szCs w:val="32"/>
        </w:rPr>
      </w:pPr>
      <w:r>
        <w:rPr>
          <w:rFonts w:hint="eastAsia" w:ascii="仿宋_GB2312" w:eastAsia="仿宋_GB2312"/>
          <w:sz w:val="32"/>
          <w:szCs w:val="32"/>
        </w:rPr>
        <w:t>（3）新闻媒体等进入赛场必须经过组委会允许，并且听从现场工作人员的安排和管理，不得影响比赛进行;</w:t>
      </w:r>
    </w:p>
    <w:p>
      <w:pPr>
        <w:widowControl/>
        <w:ind w:firstLine="640" w:firstLineChars="200"/>
        <w:jc w:val="left"/>
        <w:rPr>
          <w:rFonts w:ascii="仿宋_GB2312" w:eastAsia="仿宋_GB2312"/>
          <w:sz w:val="32"/>
          <w:szCs w:val="32"/>
        </w:rPr>
      </w:pPr>
      <w:r>
        <w:rPr>
          <w:rFonts w:hint="eastAsia" w:ascii="仿宋_GB2312" w:eastAsia="仿宋_GB2312"/>
          <w:sz w:val="32"/>
          <w:szCs w:val="32"/>
        </w:rPr>
        <w:t>（4）竞赛现场不允许抽烟，大声喧哗，不得影响竞赛其他选手比赛;</w:t>
      </w:r>
    </w:p>
    <w:p>
      <w:pPr>
        <w:widowControl/>
        <w:ind w:firstLine="640" w:firstLineChars="200"/>
        <w:jc w:val="left"/>
        <w:rPr>
          <w:rFonts w:ascii="仿宋_GB2312" w:eastAsia="仿宋_GB2312"/>
          <w:sz w:val="32"/>
          <w:szCs w:val="32"/>
        </w:rPr>
      </w:pPr>
      <w:r>
        <w:rPr>
          <w:rFonts w:hint="eastAsia" w:ascii="仿宋_GB2312" w:eastAsia="仿宋_GB2312"/>
          <w:sz w:val="32"/>
          <w:szCs w:val="32"/>
        </w:rPr>
        <w:t>（5）参赛选手进入考场前按要求提交通讯设备、电脑、USB 接口传输数据、预制程序模板等。</w:t>
      </w:r>
    </w:p>
    <w:sectPr>
      <w:footerReference r:id="rId3" w:type="default"/>
      <w:pgSz w:w="11906" w:h="16838"/>
      <w:pgMar w:top="2211" w:right="1474" w:bottom="1871" w:left="158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13"/>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98E"/>
    <w:rsid w:val="0004481F"/>
    <w:rsid w:val="00051A48"/>
    <w:rsid w:val="00097EBB"/>
    <w:rsid w:val="000E272B"/>
    <w:rsid w:val="00125192"/>
    <w:rsid w:val="001424B3"/>
    <w:rsid w:val="00166256"/>
    <w:rsid w:val="00184077"/>
    <w:rsid w:val="001F54D0"/>
    <w:rsid w:val="00234E60"/>
    <w:rsid w:val="00280B57"/>
    <w:rsid w:val="00281C64"/>
    <w:rsid w:val="002A1022"/>
    <w:rsid w:val="00321E06"/>
    <w:rsid w:val="003A1E2F"/>
    <w:rsid w:val="003E1E19"/>
    <w:rsid w:val="003F20CE"/>
    <w:rsid w:val="00425C52"/>
    <w:rsid w:val="00496148"/>
    <w:rsid w:val="004C53A2"/>
    <w:rsid w:val="004D3E62"/>
    <w:rsid w:val="0055301D"/>
    <w:rsid w:val="005D198E"/>
    <w:rsid w:val="0062420B"/>
    <w:rsid w:val="00683CB6"/>
    <w:rsid w:val="00693DFF"/>
    <w:rsid w:val="006C5061"/>
    <w:rsid w:val="00747E9F"/>
    <w:rsid w:val="0078050E"/>
    <w:rsid w:val="00864AE9"/>
    <w:rsid w:val="00875451"/>
    <w:rsid w:val="0088664C"/>
    <w:rsid w:val="008E56D6"/>
    <w:rsid w:val="008F7A76"/>
    <w:rsid w:val="009137DB"/>
    <w:rsid w:val="0095528C"/>
    <w:rsid w:val="009623E4"/>
    <w:rsid w:val="00973E3B"/>
    <w:rsid w:val="009A0FE3"/>
    <w:rsid w:val="009A4B07"/>
    <w:rsid w:val="009D64CE"/>
    <w:rsid w:val="00A35FBB"/>
    <w:rsid w:val="00A62572"/>
    <w:rsid w:val="00AC4276"/>
    <w:rsid w:val="00AD185A"/>
    <w:rsid w:val="00BA4B92"/>
    <w:rsid w:val="00BB36D6"/>
    <w:rsid w:val="00BC29FF"/>
    <w:rsid w:val="00BD6A6A"/>
    <w:rsid w:val="00C51688"/>
    <w:rsid w:val="00C95E36"/>
    <w:rsid w:val="00CB664C"/>
    <w:rsid w:val="00E144C7"/>
    <w:rsid w:val="00FB13AE"/>
    <w:rsid w:val="06E903D0"/>
    <w:rsid w:val="0E5C33E7"/>
    <w:rsid w:val="126B5950"/>
    <w:rsid w:val="204B707B"/>
    <w:rsid w:val="26C016B1"/>
    <w:rsid w:val="372F1309"/>
    <w:rsid w:val="3A3C7851"/>
    <w:rsid w:val="5BD83D6F"/>
    <w:rsid w:val="725C139D"/>
    <w:rsid w:val="FDD70C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5"/>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6"/>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7"/>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8"/>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9"/>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30"/>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1"/>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2"/>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43"/>
    <w:unhideWhenUsed/>
    <w:qFormat/>
    <w:uiPriority w:val="99"/>
    <w:pPr>
      <w:jc w:val="left"/>
    </w:pPr>
  </w:style>
  <w:style w:type="paragraph" w:styleId="12">
    <w:name w:val="Balloon Text"/>
    <w:basedOn w:val="1"/>
    <w:link w:val="45"/>
    <w:semiHidden/>
    <w:unhideWhenUsed/>
    <w:qFormat/>
    <w:uiPriority w:val="99"/>
    <w:rPr>
      <w:sz w:val="18"/>
      <w:szCs w:val="18"/>
    </w:rPr>
  </w:style>
  <w:style w:type="paragraph" w:styleId="13">
    <w:name w:val="footer"/>
    <w:basedOn w:val="1"/>
    <w:unhideWhenUsed/>
    <w:qFormat/>
    <w:uiPriority w:val="99"/>
    <w:pPr>
      <w:tabs>
        <w:tab w:val="center" w:pos="4153"/>
        <w:tab w:val="right" w:pos="8306"/>
      </w:tabs>
      <w:snapToGrid w:val="0"/>
      <w:jc w:val="left"/>
    </w:pPr>
    <w:rPr>
      <w:sz w:val="18"/>
    </w:rPr>
  </w:style>
  <w:style w:type="paragraph" w:styleId="1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qFormat/>
    <w:uiPriority w:val="39"/>
    <w:rPr>
      <w:rFonts w:ascii="Calibri" w:hAnsi="Calibri" w:eastAsia="宋体" w:cs="Times New Roman"/>
      <w:szCs w:val="24"/>
    </w:rPr>
  </w:style>
  <w:style w:type="paragraph" w:styleId="16">
    <w:name w:val="Subtitle"/>
    <w:basedOn w:val="1"/>
    <w:next w:val="1"/>
    <w:link w:val="34"/>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7">
    <w:name w:val="toc 2"/>
    <w:basedOn w:val="1"/>
    <w:next w:val="1"/>
    <w:qFormat/>
    <w:uiPriority w:val="39"/>
    <w:pPr>
      <w:ind w:left="420" w:leftChars="200"/>
    </w:pPr>
    <w:rPr>
      <w:rFonts w:ascii="Calibri" w:hAnsi="Calibri" w:eastAsia="宋体" w:cs="Times New Roman"/>
      <w:szCs w:val="24"/>
    </w:rPr>
  </w:style>
  <w:style w:type="paragraph" w:styleId="18">
    <w:name w:val="Title"/>
    <w:basedOn w:val="1"/>
    <w:next w:val="1"/>
    <w:link w:val="33"/>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9">
    <w:name w:val="annotation subject"/>
    <w:basedOn w:val="11"/>
    <w:next w:val="11"/>
    <w:link w:val="44"/>
    <w:semiHidden/>
    <w:unhideWhenUsed/>
    <w:qFormat/>
    <w:uiPriority w:val="99"/>
    <w:rPr>
      <w:b/>
      <w:bCs/>
    </w:rPr>
  </w:style>
  <w:style w:type="character" w:styleId="22">
    <w:name w:val="Hyperlink"/>
    <w:unhideWhenUsed/>
    <w:qFormat/>
    <w:uiPriority w:val="99"/>
    <w:rPr>
      <w:color w:val="0563C1"/>
      <w:u w:val="single"/>
    </w:rPr>
  </w:style>
  <w:style w:type="character" w:styleId="23">
    <w:name w:val="annotation reference"/>
    <w:basedOn w:val="21"/>
    <w:semiHidden/>
    <w:unhideWhenUsed/>
    <w:qFormat/>
    <w:uiPriority w:val="99"/>
    <w:rPr>
      <w:sz w:val="21"/>
      <w:szCs w:val="21"/>
    </w:rPr>
  </w:style>
  <w:style w:type="character" w:customStyle="1" w:styleId="24">
    <w:name w:val="标题 1 字符"/>
    <w:basedOn w:val="21"/>
    <w:link w:val="2"/>
    <w:qFormat/>
    <w:uiPriority w:val="9"/>
    <w:rPr>
      <w:rFonts w:asciiTheme="majorHAnsi" w:hAnsiTheme="majorHAnsi" w:eastAsiaTheme="majorEastAsia" w:cstheme="majorBidi"/>
      <w:color w:val="104862" w:themeColor="accent1" w:themeShade="BF"/>
      <w:sz w:val="48"/>
      <w:szCs w:val="48"/>
    </w:rPr>
  </w:style>
  <w:style w:type="character" w:customStyle="1" w:styleId="25">
    <w:name w:val="标题 2 字符"/>
    <w:basedOn w:val="21"/>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6">
    <w:name w:val="标题 3 字符"/>
    <w:basedOn w:val="21"/>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7">
    <w:name w:val="标题 4 字符"/>
    <w:basedOn w:val="21"/>
    <w:link w:val="5"/>
    <w:semiHidden/>
    <w:qFormat/>
    <w:uiPriority w:val="9"/>
    <w:rPr>
      <w:rFonts w:cstheme="majorBidi"/>
      <w:color w:val="104862" w:themeColor="accent1" w:themeShade="BF"/>
      <w:sz w:val="28"/>
      <w:szCs w:val="28"/>
    </w:rPr>
  </w:style>
  <w:style w:type="character" w:customStyle="1" w:styleId="28">
    <w:name w:val="标题 5 字符"/>
    <w:basedOn w:val="21"/>
    <w:link w:val="6"/>
    <w:semiHidden/>
    <w:qFormat/>
    <w:uiPriority w:val="9"/>
    <w:rPr>
      <w:rFonts w:cstheme="majorBidi"/>
      <w:color w:val="104862" w:themeColor="accent1" w:themeShade="BF"/>
      <w:sz w:val="24"/>
      <w:szCs w:val="24"/>
    </w:rPr>
  </w:style>
  <w:style w:type="character" w:customStyle="1" w:styleId="29">
    <w:name w:val="标题 6 字符"/>
    <w:basedOn w:val="21"/>
    <w:link w:val="7"/>
    <w:semiHidden/>
    <w:qFormat/>
    <w:uiPriority w:val="9"/>
    <w:rPr>
      <w:rFonts w:cstheme="majorBidi"/>
      <w:b/>
      <w:bCs/>
      <w:color w:val="104862" w:themeColor="accent1" w:themeShade="BF"/>
    </w:rPr>
  </w:style>
  <w:style w:type="character" w:customStyle="1" w:styleId="30">
    <w:name w:val="标题 7 字符"/>
    <w:basedOn w:val="21"/>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1">
    <w:name w:val="标题 8 字符"/>
    <w:basedOn w:val="21"/>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2">
    <w:name w:val="标题 9 字符"/>
    <w:basedOn w:val="21"/>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3">
    <w:name w:val="标题 字符"/>
    <w:basedOn w:val="21"/>
    <w:link w:val="18"/>
    <w:qFormat/>
    <w:uiPriority w:val="10"/>
    <w:rPr>
      <w:rFonts w:asciiTheme="majorHAnsi" w:hAnsiTheme="majorHAnsi" w:eastAsiaTheme="majorEastAsia" w:cstheme="majorBidi"/>
      <w:spacing w:val="-10"/>
      <w:kern w:val="28"/>
      <w:sz w:val="56"/>
      <w:szCs w:val="56"/>
    </w:rPr>
  </w:style>
  <w:style w:type="character" w:customStyle="1" w:styleId="34">
    <w:name w:val="副标题 字符"/>
    <w:basedOn w:val="21"/>
    <w:link w:val="16"/>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5">
    <w:name w:val="Quote"/>
    <w:basedOn w:val="1"/>
    <w:next w:val="1"/>
    <w:link w:val="36"/>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6">
    <w:name w:val="引用 字符"/>
    <w:basedOn w:val="21"/>
    <w:link w:val="35"/>
    <w:qFormat/>
    <w:uiPriority w:val="29"/>
    <w:rPr>
      <w:i/>
      <w:iCs/>
      <w:color w:val="404040" w:themeColor="text1" w:themeTint="BF"/>
      <w14:textFill>
        <w14:solidFill>
          <w14:schemeClr w14:val="tx1">
            <w14:lumMod w14:val="75000"/>
            <w14:lumOff w14:val="25000"/>
          </w14:schemeClr>
        </w14:solidFill>
      </w14:textFill>
    </w:rPr>
  </w:style>
  <w:style w:type="paragraph" w:styleId="37">
    <w:name w:val="List Paragraph"/>
    <w:basedOn w:val="1"/>
    <w:qFormat/>
    <w:uiPriority w:val="34"/>
    <w:pPr>
      <w:ind w:left="720"/>
      <w:contextualSpacing/>
    </w:pPr>
  </w:style>
  <w:style w:type="character" w:customStyle="1" w:styleId="38">
    <w:name w:val="明显强调1"/>
    <w:basedOn w:val="21"/>
    <w:qFormat/>
    <w:uiPriority w:val="21"/>
    <w:rPr>
      <w:i/>
      <w:iCs/>
      <w:color w:val="104862" w:themeColor="accent1" w:themeShade="BF"/>
    </w:rPr>
  </w:style>
  <w:style w:type="paragraph" w:styleId="39">
    <w:name w:val="Intense Quote"/>
    <w:basedOn w:val="1"/>
    <w:next w:val="1"/>
    <w:link w:val="40"/>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0">
    <w:name w:val="明显引用 字符"/>
    <w:basedOn w:val="21"/>
    <w:link w:val="39"/>
    <w:qFormat/>
    <w:uiPriority w:val="30"/>
    <w:rPr>
      <w:i/>
      <w:iCs/>
      <w:color w:val="104862" w:themeColor="accent1" w:themeShade="BF"/>
    </w:rPr>
  </w:style>
  <w:style w:type="character" w:customStyle="1" w:styleId="41">
    <w:name w:val="明显参考1"/>
    <w:basedOn w:val="21"/>
    <w:qFormat/>
    <w:uiPriority w:val="32"/>
    <w:rPr>
      <w:b/>
      <w:bCs/>
      <w:smallCaps/>
      <w:color w:val="104862" w:themeColor="accent1" w:themeShade="BF"/>
      <w:spacing w:val="5"/>
    </w:rPr>
  </w:style>
  <w:style w:type="paragraph" w:customStyle="1" w:styleId="42">
    <w:name w:val="NormalIndent"/>
    <w:basedOn w:val="1"/>
    <w:qFormat/>
    <w:uiPriority w:val="0"/>
    <w:pPr>
      <w:widowControl/>
      <w:snapToGrid w:val="0"/>
      <w:jc w:val="center"/>
      <w:textAlignment w:val="baseline"/>
    </w:pPr>
    <w:rPr>
      <w:rFonts w:ascii="微软雅黑" w:hAnsi="Arial" w:eastAsia="微软雅黑" w:cs="Times New Roman"/>
      <w:color w:val="000000"/>
      <w:szCs w:val="21"/>
      <w:lang w:val="zh-CN"/>
    </w:rPr>
  </w:style>
  <w:style w:type="character" w:customStyle="1" w:styleId="43">
    <w:name w:val="批注文字 字符"/>
    <w:basedOn w:val="21"/>
    <w:link w:val="11"/>
    <w:qFormat/>
    <w:uiPriority w:val="99"/>
    <w:rPr>
      <w:kern w:val="2"/>
      <w:sz w:val="21"/>
      <w:szCs w:val="22"/>
    </w:rPr>
  </w:style>
  <w:style w:type="character" w:customStyle="1" w:styleId="44">
    <w:name w:val="批注主题 字符"/>
    <w:basedOn w:val="43"/>
    <w:link w:val="19"/>
    <w:semiHidden/>
    <w:qFormat/>
    <w:uiPriority w:val="99"/>
    <w:rPr>
      <w:b/>
      <w:bCs/>
      <w:kern w:val="2"/>
      <w:sz w:val="21"/>
      <w:szCs w:val="22"/>
    </w:rPr>
  </w:style>
  <w:style w:type="character" w:customStyle="1" w:styleId="45">
    <w:name w:val="批注框文本 字符"/>
    <w:basedOn w:val="21"/>
    <w:link w:val="12"/>
    <w:semiHidden/>
    <w:qFormat/>
    <w:uiPriority w:val="99"/>
    <w:rPr>
      <w:kern w:val="2"/>
      <w:sz w:val="18"/>
      <w:szCs w:val="18"/>
    </w:rPr>
  </w:style>
  <w:style w:type="paragraph" w:customStyle="1" w:styleId="46">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658</Words>
  <Characters>3752</Characters>
  <Lines>31</Lines>
  <Paragraphs>8</Paragraphs>
  <TotalTime>24</TotalTime>
  <ScaleCrop>false</ScaleCrop>
  <LinksUpToDate>false</LinksUpToDate>
  <CharactersWithSpaces>4402</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2024-10-09T14:47:00Z</dcterms:created>
  <dc:creator>YANCHAK NG</dc:creator>
  <cp:lastModifiedBy>pc-86p</cp:lastModifiedBy>
  <dcterms:modified xsi:type="dcterms:W3CDTF">2024-10-22T07:21:06Z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